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ab91" w14:textId="32f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8 904 788,1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2 708 885,1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9 185 249,2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40 521,0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-286 611,1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286 611,1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243 937,0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города районного значения, поселков, сельских округов в сумме 472 788,0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77 385,0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50 459,0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87 484,0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49 458,0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30 477,0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37 901,0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35 695,0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19 904,0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21 840,0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–29 917,0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–32 268,0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60 000,0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2 241 355,9 тысяч тенге, ликвидацией Центров занятости населения и созданием областного Центра трудовых ресурсов 89 241,0 тысяча тенге, передачей функций по регистрации актов гражданского состояния 4 866,0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2025 год поступление трансфертов из бюджета города Шемонаиха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97 898,0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Шемонаихинского районного маслихата Восточно-Казахстанской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9 185 249,2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