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389d" w14:textId="cc03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Восточно-Казахстанской области</w:t>
      </w:r>
    </w:p>
    <w:p>
      <w:pPr>
        <w:spacing w:after="0"/>
        <w:ind w:left="0"/>
        <w:jc w:val="both"/>
      </w:pPr>
      <w:r>
        <w:rPr>
          <w:rFonts w:ascii="Times New Roman"/>
          <w:b w:val="false"/>
          <w:i w:val="false"/>
          <w:color w:val="000000"/>
          <w:sz w:val="28"/>
        </w:rPr>
        <w:t>Решение Восточно-Казахстанского областного маслихата от 12 апреля 2024 года № 12/98-VIII</w:t>
      </w:r>
    </w:p>
    <w:p>
      <w:pPr>
        <w:spacing w:after="0"/>
        <w:ind w:left="0"/>
        <w:jc w:val="both"/>
      </w:pPr>
      <w:bookmarkStart w:name="z5"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Восточно-Казахстанский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населенных пунктов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Восточно-Казахстанского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12 апреля 2024 года </w:t>
            </w:r>
            <w:r>
              <w:br/>
            </w:r>
            <w:r>
              <w:rPr>
                <w:rFonts w:ascii="Times New Roman"/>
                <w:b w:val="false"/>
                <w:i w:val="false"/>
                <w:color w:val="000000"/>
                <w:sz w:val="20"/>
              </w:rPr>
              <w:t>№ 12/98-VIII</w:t>
            </w:r>
          </w:p>
        </w:tc>
      </w:tr>
    </w:tbl>
    <w:bookmarkStart w:name="z10"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Восточно-Казахстанской области</w:t>
      </w:r>
    </w:p>
    <w:bookmarkEnd w:id="3"/>
    <w:p>
      <w:pPr>
        <w:spacing w:after="0"/>
        <w:ind w:left="0"/>
        <w:jc w:val="both"/>
      </w:pPr>
      <w:r>
        <w:rPr>
          <w:rFonts w:ascii="Times New Roman"/>
          <w:b w:val="false"/>
          <w:i w:val="false"/>
          <w:color w:val="ff0000"/>
          <w:sz w:val="28"/>
        </w:rPr>
        <w:t xml:space="preserve">
      Сноска. Правила в редакции решения Восточно-Казахстанского областного маслихата от 09.04.2025 </w:t>
      </w:r>
      <w:r>
        <w:rPr>
          <w:rFonts w:ascii="Times New Roman"/>
          <w:b w:val="false"/>
          <w:i w:val="false"/>
          <w:color w:val="ff0000"/>
          <w:sz w:val="28"/>
        </w:rPr>
        <w:t>№ 20/172-VIII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Восточно-Казахстанской области (далее – Правила) разработаны в соответствии с подпунктом 33-1)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растительном мире" и определяют порядок создания, содержания и защиты зеленых насаждений на территории населенных пунктов Восточно-Казахстанской области.</w:t>
      </w:r>
    </w:p>
    <w:bookmarkEnd w:id="5"/>
    <w:bookmarkStart w:name="z15"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6" w:id="7"/>
    <w:p>
      <w:pPr>
        <w:spacing w:after="0"/>
        <w:ind w:left="0"/>
        <w:jc w:val="both"/>
      </w:pPr>
      <w:r>
        <w:rPr>
          <w:rFonts w:ascii="Times New Roman"/>
          <w:b w:val="false"/>
          <w:i w:val="false"/>
          <w:color w:val="000000"/>
          <w:sz w:val="28"/>
        </w:rPr>
        <w:t xml:space="preserve">
      2. Правила создания, содержания и защиты зеленых насаждений населенных пунктов, разрабатываются местными исполнительными органами на основании Типовых правил создания, содержания и защиты зеленых насаждений населенных пунктов,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(зарегистрирован в Реестре государственной регистрации нормативных правовых актов за № 31996).</w:t>
      </w:r>
    </w:p>
    <w:bookmarkEnd w:id="7"/>
    <w:bookmarkStart w:name="z17"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9"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0" w:id="11"/>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bookmarkEnd w:id="11"/>
    <w:bookmarkStart w:name="z21"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2"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3"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4"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5"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6"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7"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8"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9"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то они подлежат обязательной вырубке;</w:t>
      </w:r>
    </w:p>
    <w:bookmarkEnd w:id="20"/>
    <w:bookmarkStart w:name="z30"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1"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2"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3"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4"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5"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6"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7"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8"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9"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0"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1"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2"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3"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4"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5"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6"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7"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8"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9"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50" w:id="41"/>
    <w:p>
      <w:pPr>
        <w:spacing w:after="0"/>
        <w:ind w:left="0"/>
        <w:jc w:val="both"/>
      </w:pPr>
      <w:r>
        <w:rPr>
          <w:rFonts w:ascii="Times New Roman"/>
          <w:b w:val="false"/>
          <w:i w:val="false"/>
          <w:color w:val="000000"/>
          <w:sz w:val="28"/>
        </w:rPr>
        <w:t>
      4.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1"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2"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3"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4"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5" w:id="46"/>
    <w:p>
      <w:pPr>
        <w:spacing w:after="0"/>
        <w:ind w:left="0"/>
        <w:jc w:val="both"/>
      </w:pPr>
      <w:r>
        <w:rPr>
          <w:rFonts w:ascii="Times New Roman"/>
          <w:b w:val="false"/>
          <w:i w:val="false"/>
          <w:color w:val="000000"/>
          <w:sz w:val="28"/>
        </w:rPr>
        <w:t>
      сохранение экологического баланса;</w:t>
      </w:r>
    </w:p>
    <w:bookmarkEnd w:id="46"/>
    <w:bookmarkStart w:name="z56"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7"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8"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9"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0"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1"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2"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3"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4"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5"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6"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7"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8"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9"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0" w:id="61"/>
    <w:p>
      <w:pPr>
        <w:spacing w:after="0"/>
        <w:ind w:left="0"/>
        <w:jc w:val="both"/>
      </w:pPr>
      <w:r>
        <w:rPr>
          <w:rFonts w:ascii="Times New Roman"/>
          <w:b w:val="false"/>
          <w:i w:val="false"/>
          <w:color w:val="000000"/>
          <w:sz w:val="28"/>
        </w:rPr>
        <w:t>
      ведение реестра зеленых насаждений;</w:t>
      </w:r>
    </w:p>
    <w:bookmarkEnd w:id="61"/>
    <w:bookmarkStart w:name="z71" w:id="62"/>
    <w:p>
      <w:pPr>
        <w:spacing w:after="0"/>
        <w:ind w:left="0"/>
        <w:jc w:val="both"/>
      </w:pPr>
      <w:r>
        <w:rPr>
          <w:rFonts w:ascii="Times New Roman"/>
          <w:b w:val="false"/>
          <w:i w:val="false"/>
          <w:color w:val="000000"/>
          <w:sz w:val="28"/>
        </w:rPr>
        <w:t>
      разработки дендрологического плана.</w:t>
      </w:r>
    </w:p>
    <w:bookmarkEnd w:id="62"/>
    <w:bookmarkStart w:name="z72"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3"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4"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5"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6"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7"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8"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9"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80"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1"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2"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3"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4"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5"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6"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7"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8"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9"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90"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1" w:id="82"/>
    <w:p>
      <w:pPr>
        <w:spacing w:after="0"/>
        <w:ind w:left="0"/>
        <w:jc w:val="both"/>
      </w:pPr>
      <w:r>
        <w:rPr>
          <w:rFonts w:ascii="Times New Roman"/>
          <w:b w:val="false"/>
          <w:i w:val="false"/>
          <w:color w:val="000000"/>
          <w:sz w:val="28"/>
        </w:rPr>
        <w:t>
      для вырубки (больные, высохшие);</w:t>
      </w:r>
    </w:p>
    <w:bookmarkEnd w:id="82"/>
    <w:bookmarkStart w:name="z92" w:id="83"/>
    <w:p>
      <w:pPr>
        <w:spacing w:after="0"/>
        <w:ind w:left="0"/>
        <w:jc w:val="both"/>
      </w:pPr>
      <w:r>
        <w:rPr>
          <w:rFonts w:ascii="Times New Roman"/>
          <w:b w:val="false"/>
          <w:i w:val="false"/>
          <w:color w:val="000000"/>
          <w:sz w:val="28"/>
        </w:rPr>
        <w:t>
      под пересадку;</w:t>
      </w:r>
    </w:p>
    <w:bookmarkEnd w:id="83"/>
    <w:bookmarkStart w:name="z93" w:id="84"/>
    <w:p>
      <w:pPr>
        <w:spacing w:after="0"/>
        <w:ind w:left="0"/>
        <w:jc w:val="both"/>
      </w:pPr>
      <w:r>
        <w:rPr>
          <w:rFonts w:ascii="Times New Roman"/>
          <w:b w:val="false"/>
          <w:i w:val="false"/>
          <w:color w:val="000000"/>
          <w:sz w:val="28"/>
        </w:rPr>
        <w:t>
      не затронутые.</w:t>
      </w:r>
    </w:p>
    <w:bookmarkEnd w:id="84"/>
    <w:bookmarkStart w:name="z94"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5"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6"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7"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8"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9"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bookmarkStart w:name="z100"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1"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102"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103" w:id="94"/>
    <w:p>
      <w:pPr>
        <w:spacing w:after="0"/>
        <w:ind w:left="0"/>
        <w:jc w:val="both"/>
      </w:pPr>
      <w:r>
        <w:rPr>
          <w:rFonts w:ascii="Times New Roman"/>
          <w:b w:val="false"/>
          <w:i w:val="false"/>
          <w:color w:val="000000"/>
          <w:sz w:val="28"/>
        </w:rPr>
        <w:t>
      3) вырубка, пересадка деревьев;</w:t>
      </w:r>
    </w:p>
    <w:bookmarkEnd w:id="94"/>
    <w:bookmarkStart w:name="z104"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105"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06" w:id="97"/>
    <w:p>
      <w:pPr>
        <w:spacing w:after="0"/>
        <w:ind w:left="0"/>
        <w:jc w:val="both"/>
      </w:pPr>
      <w:r>
        <w:rPr>
          <w:rFonts w:ascii="Times New Roman"/>
          <w:b w:val="false"/>
          <w:i w:val="false"/>
          <w:color w:val="000000"/>
          <w:sz w:val="28"/>
        </w:rPr>
        <w:t>
      6) мониторинг, инвентаризация зеленых насаждений.</w:t>
      </w:r>
    </w:p>
    <w:bookmarkEnd w:id="97"/>
    <w:bookmarkStart w:name="z107"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08"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109" w:id="100"/>
    <w:p>
      <w:pPr>
        <w:spacing w:after="0"/>
        <w:ind w:left="0"/>
        <w:jc w:val="both"/>
      </w:pPr>
      <w:r>
        <w:rPr>
          <w:rFonts w:ascii="Times New Roman"/>
          <w:b w:val="false"/>
          <w:i w:val="false"/>
          <w:color w:val="000000"/>
          <w:sz w:val="28"/>
        </w:rPr>
        <w:t>
      побелка штамба деревьев;</w:t>
      </w:r>
    </w:p>
    <w:bookmarkEnd w:id="100"/>
    <w:bookmarkStart w:name="z110"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111" w:id="102"/>
    <w:p>
      <w:pPr>
        <w:spacing w:after="0"/>
        <w:ind w:left="0"/>
        <w:jc w:val="both"/>
      </w:pPr>
      <w:r>
        <w:rPr>
          <w:rFonts w:ascii="Times New Roman"/>
          <w:b w:val="false"/>
          <w:i w:val="false"/>
          <w:color w:val="000000"/>
          <w:sz w:val="28"/>
        </w:rPr>
        <w:t>
      покос травы, прополка сорняков;</w:t>
      </w:r>
    </w:p>
    <w:bookmarkEnd w:id="102"/>
    <w:bookmarkStart w:name="z112" w:id="103"/>
    <w:p>
      <w:pPr>
        <w:spacing w:after="0"/>
        <w:ind w:left="0"/>
        <w:jc w:val="both"/>
      </w:pPr>
      <w:r>
        <w:rPr>
          <w:rFonts w:ascii="Times New Roman"/>
          <w:b w:val="false"/>
          <w:i w:val="false"/>
          <w:color w:val="000000"/>
          <w:sz w:val="28"/>
        </w:rPr>
        <w:t>
      зимнее укрытие зеленых насаждений (деревья, кустарники, многолетние цветы);</w:t>
      </w:r>
    </w:p>
    <w:bookmarkEnd w:id="103"/>
    <w:bookmarkStart w:name="z113"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114" w:id="105"/>
    <w:p>
      <w:pPr>
        <w:spacing w:after="0"/>
        <w:ind w:left="0"/>
        <w:jc w:val="both"/>
      </w:pPr>
      <w:r>
        <w:rPr>
          <w:rFonts w:ascii="Times New Roman"/>
          <w:b w:val="false"/>
          <w:i w:val="false"/>
          <w:color w:val="000000"/>
          <w:sz w:val="28"/>
        </w:rPr>
        <w:t>
      кронирование кроны деревьев;</w:t>
      </w:r>
    </w:p>
    <w:bookmarkEnd w:id="105"/>
    <w:bookmarkStart w:name="z115" w:id="106"/>
    <w:p>
      <w:pPr>
        <w:spacing w:after="0"/>
        <w:ind w:left="0"/>
        <w:jc w:val="both"/>
      </w:pPr>
      <w:r>
        <w:rPr>
          <w:rFonts w:ascii="Times New Roman"/>
          <w:b w:val="false"/>
          <w:i w:val="false"/>
          <w:color w:val="000000"/>
          <w:sz w:val="28"/>
        </w:rPr>
        <w:t>
      формирование кроны деревьев;</w:t>
      </w:r>
    </w:p>
    <w:bookmarkEnd w:id="106"/>
    <w:bookmarkStart w:name="z116"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117"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118" w:id="109"/>
    <w:p>
      <w:pPr>
        <w:spacing w:after="0"/>
        <w:ind w:left="0"/>
        <w:jc w:val="both"/>
      </w:pPr>
      <w:r>
        <w:rPr>
          <w:rFonts w:ascii="Times New Roman"/>
          <w:b w:val="false"/>
          <w:i w:val="false"/>
          <w:color w:val="000000"/>
          <w:sz w:val="28"/>
        </w:rPr>
        <w:t>
      внесение удобрений;</w:t>
      </w:r>
    </w:p>
    <w:bookmarkEnd w:id="109"/>
    <w:bookmarkStart w:name="z119"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120"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bookmarkStart w:name="z121"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22"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23"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24"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25"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6"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7"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8"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9"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30"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31"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32"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33"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34"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35"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6"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7"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8"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9"/>
    <w:bookmarkStart w:name="z140"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41"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42"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43"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44"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45"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46"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7"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8" w:id="138"/>
    <w:p>
      <w:pPr>
        <w:spacing w:after="0"/>
        <w:ind w:left="0"/>
        <w:jc w:val="left"/>
      </w:pPr>
      <w:r>
        <w:rPr>
          <w:rFonts w:ascii="Times New Roman"/>
          <w:b/>
          <w:i w:val="false"/>
          <w:color w:val="000000"/>
        </w:rPr>
        <w:t xml:space="preserve"> Глава 6. Порядок вырубки деревьев</w:t>
      </w:r>
    </w:p>
    <w:bookmarkEnd w:id="138"/>
    <w:bookmarkStart w:name="z149" w:id="139"/>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39"/>
    <w:bookmarkStart w:name="z150"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51"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52"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53"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54"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55"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56"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7"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58" w:id="1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48"/>
    <w:bookmarkStart w:name="z159" w:id="1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149"/>
    <w:bookmarkStart w:name="z160" w:id="1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0"/>
    <w:bookmarkStart w:name="z161" w:id="15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1"/>
    <w:bookmarkStart w:name="z162" w:id="15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2"/>
    <w:bookmarkStart w:name="z163" w:id="153"/>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3"/>
    <w:bookmarkStart w:name="z164" w:id="154"/>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4"/>
    <w:bookmarkStart w:name="z165" w:id="155"/>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5"/>
    <w:bookmarkStart w:name="z166" w:id="156"/>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6"/>
    <w:bookmarkStart w:name="z167" w:id="157"/>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7"/>
    <w:bookmarkStart w:name="z168" w:id="15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8"/>
    <w:bookmarkStart w:name="z169" w:id="159"/>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9"/>
    <w:bookmarkStart w:name="z170" w:id="16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0"/>
    <w:bookmarkStart w:name="z171" w:id="161"/>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1"/>
    <w:bookmarkStart w:name="z172" w:id="16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2"/>
    <w:bookmarkStart w:name="z173" w:id="16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3"/>
    <w:bookmarkStart w:name="z174" w:id="164"/>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4"/>
    <w:bookmarkStart w:name="z175" w:id="165"/>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5"/>
    <w:bookmarkStart w:name="z176" w:id="166"/>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6"/>
    <w:bookmarkStart w:name="z177" w:id="167"/>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7"/>
    <w:bookmarkStart w:name="z178" w:id="168"/>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8"/>
    <w:bookmarkStart w:name="z179" w:id="169"/>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9"/>
    <w:bookmarkStart w:name="z180" w:id="170"/>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0"/>
    <w:bookmarkStart w:name="z181" w:id="171"/>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1"/>
    <w:bookmarkStart w:name="z182" w:id="17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2"/>
    <w:bookmarkStart w:name="z183" w:id="173"/>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3"/>
    <w:bookmarkStart w:name="z184" w:id="17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4"/>
    <w:bookmarkStart w:name="z185" w:id="17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5"/>
    <w:bookmarkStart w:name="z186" w:id="176"/>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6"/>
    <w:bookmarkStart w:name="z187" w:id="177"/>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7"/>
    <w:bookmarkStart w:name="z188" w:id="178"/>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8"/>
    <w:bookmarkStart w:name="z189" w:id="17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9"/>
    <w:bookmarkStart w:name="z190" w:id="180"/>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0"/>
    <w:bookmarkStart w:name="z191" w:id="18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1"/>
    <w:bookmarkStart w:name="z192" w:id="18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2"/>
    <w:bookmarkStart w:name="z193" w:id="18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3"/>
    <w:bookmarkStart w:name="z194" w:id="18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4"/>
    <w:bookmarkStart w:name="z195" w:id="18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5"/>
    <w:bookmarkStart w:name="z196" w:id="18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186"/>
    <w:bookmarkStart w:name="z197" w:id="18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7"/>
    <w:bookmarkStart w:name="z198" w:id="18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8"/>
    <w:bookmarkStart w:name="z199" w:id="18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создания,</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01" w:id="190"/>
    <w:p>
      <w:pPr>
        <w:spacing w:after="0"/>
        <w:ind w:left="0"/>
        <w:jc w:val="left"/>
      </w:pPr>
      <w:r>
        <w:rPr>
          <w:rFonts w:ascii="Times New Roman"/>
          <w:b/>
          <w:i w:val="false"/>
          <w:color w:val="000000"/>
        </w:rPr>
        <w:t xml:space="preserve"> Реестр зеленых насаждений на 1 января ____ года</w:t>
      </w:r>
    </w:p>
    <w:bookmarkEnd w:id="190"/>
    <w:bookmarkStart w:name="z202" w:id="19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1"/>
    <w:bookmarkStart w:name="z203" w:id="192"/>
    <w:p>
      <w:pPr>
        <w:spacing w:after="0"/>
        <w:ind w:left="0"/>
        <w:jc w:val="both"/>
      </w:pPr>
      <w:r>
        <w:rPr>
          <w:rFonts w:ascii="Times New Roman"/>
          <w:b w:val="false"/>
          <w:i w:val="false"/>
          <w:color w:val="000000"/>
          <w:sz w:val="28"/>
        </w:rPr>
        <w:t>
      Город/населенный пункт</w:t>
      </w:r>
    </w:p>
    <w:bookmarkEnd w:id="192"/>
    <w:bookmarkStart w:name="z204" w:id="193"/>
    <w:p>
      <w:pPr>
        <w:spacing w:after="0"/>
        <w:ind w:left="0"/>
        <w:jc w:val="both"/>
      </w:pPr>
      <w:r>
        <w:rPr>
          <w:rFonts w:ascii="Times New Roman"/>
          <w:b w:val="false"/>
          <w:i w:val="false"/>
          <w:color w:val="000000"/>
          <w:sz w:val="28"/>
        </w:rPr>
        <w:t>
      Ответственный владелец: 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зеленого насаждения</w:t>
            </w: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 xml:space="preserve"> Форма</w:t>
            </w:r>
          </w:p>
        </w:tc>
      </w:tr>
    </w:tbl>
    <w:bookmarkStart w:name="z206" w:id="194"/>
    <w:p>
      <w:pPr>
        <w:spacing w:after="0"/>
        <w:ind w:left="0"/>
        <w:jc w:val="left"/>
      </w:pPr>
      <w:r>
        <w:rPr>
          <w:rFonts w:ascii="Times New Roman"/>
          <w:b/>
          <w:i w:val="false"/>
          <w:color w:val="000000"/>
        </w:rPr>
        <w:t xml:space="preserve"> Акт обследования зеленых насаждений " ___" ___________ 20__года</w:t>
      </w:r>
    </w:p>
    <w:bookmarkEnd w:id="194"/>
    <w:p>
      <w:pPr>
        <w:spacing w:after="0"/>
        <w:ind w:left="0"/>
        <w:jc w:val="both"/>
      </w:pPr>
      <w:r>
        <w:rPr>
          <w:rFonts w:ascii="Times New Roman"/>
          <w:b w:val="false"/>
          <w:i w:val="false"/>
          <w:color w:val="ff0000"/>
          <w:sz w:val="28"/>
        </w:rPr>
        <w:t xml:space="preserve">
      Сноска. Приложение 2 в редакции решения Восточно-Казахстанского областного маслихата от 18.11.2025 </w:t>
      </w:r>
      <w:r>
        <w:rPr>
          <w:rFonts w:ascii="Times New Roman"/>
          <w:b w:val="false"/>
          <w:i w:val="false"/>
          <w:color w:val="ff0000"/>
          <w:sz w:val="28"/>
        </w:rPr>
        <w:t>№ 25/201-VІІІ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6"/>
    <w:p>
      <w:pPr>
        <w:spacing w:after="0"/>
        <w:ind w:left="0"/>
        <w:jc w:val="both"/>
      </w:pPr>
      <w:r>
        <w:rPr>
          <w:rFonts w:ascii="Times New Roman"/>
          <w:b w:val="false"/>
          <w:i w:val="false"/>
          <w:color w:val="000000"/>
          <w:sz w:val="28"/>
        </w:rPr>
        <w:t>
      Настоящий акт составлен в _______экземплярах.</w:t>
      </w:r>
    </w:p>
    <w:bookmarkEnd w:id="196"/>
    <w:bookmarkStart w:name="z238" w:id="197"/>
    <w:p>
      <w:pPr>
        <w:spacing w:after="0"/>
        <w:ind w:left="0"/>
        <w:jc w:val="both"/>
      </w:pPr>
      <w:r>
        <w:rPr>
          <w:rFonts w:ascii="Times New Roman"/>
          <w:b w:val="false"/>
          <w:i w:val="false"/>
          <w:color w:val="000000"/>
          <w:sz w:val="28"/>
        </w:rPr>
        <w:t xml:space="preserve">
      Примечание: Акт обследования не является документом, </w:t>
      </w:r>
    </w:p>
    <w:bookmarkEnd w:id="197"/>
    <w:bookmarkStart w:name="z239" w:id="198"/>
    <w:p>
      <w:pPr>
        <w:spacing w:after="0"/>
        <w:ind w:left="0"/>
        <w:jc w:val="both"/>
      </w:pPr>
      <w:r>
        <w:rPr>
          <w:rFonts w:ascii="Times New Roman"/>
          <w:b w:val="false"/>
          <w:i w:val="false"/>
          <w:color w:val="000000"/>
          <w:sz w:val="28"/>
        </w:rPr>
        <w:t>
      дающим разрешение на вырубку или пересадку зеленых насаждений.</w:t>
      </w:r>
    </w:p>
    <w:bookmarkEnd w:id="198"/>
    <w:bookmarkStart w:name="z240" w:id="199"/>
    <w:p>
      <w:pPr>
        <w:spacing w:after="0"/>
        <w:ind w:left="0"/>
        <w:jc w:val="both"/>
      </w:pPr>
      <w:r>
        <w:rPr>
          <w:rFonts w:ascii="Times New Roman"/>
          <w:b w:val="false"/>
          <w:i w:val="false"/>
          <w:color w:val="000000"/>
          <w:sz w:val="28"/>
        </w:rPr>
        <w:t>
      Представитель физического или юридического лица</w:t>
      </w:r>
    </w:p>
    <w:bookmarkEnd w:id="199"/>
    <w:bookmarkStart w:name="z241" w:id="200"/>
    <w:p>
      <w:pPr>
        <w:spacing w:after="0"/>
        <w:ind w:left="0"/>
        <w:jc w:val="both"/>
      </w:pPr>
      <w:r>
        <w:rPr>
          <w:rFonts w:ascii="Times New Roman"/>
          <w:b w:val="false"/>
          <w:i w:val="false"/>
          <w:color w:val="000000"/>
          <w:sz w:val="28"/>
        </w:rPr>
        <w:t xml:space="preserve">
      ____________________________ подпись (Ф.И.О) </w:t>
      </w:r>
    </w:p>
    <w:bookmarkEnd w:id="200"/>
    <w:bookmarkStart w:name="z242" w:id="201"/>
    <w:p>
      <w:pPr>
        <w:spacing w:after="0"/>
        <w:ind w:left="0"/>
        <w:jc w:val="both"/>
      </w:pPr>
      <w:r>
        <w:rPr>
          <w:rFonts w:ascii="Times New Roman"/>
          <w:b w:val="false"/>
          <w:i w:val="false"/>
          <w:color w:val="000000"/>
          <w:sz w:val="28"/>
        </w:rPr>
        <w:t>
      Должностное лицо уполномоченного органа</w:t>
      </w:r>
    </w:p>
    <w:bookmarkEnd w:id="201"/>
    <w:bookmarkStart w:name="z243" w:id="202"/>
    <w:p>
      <w:pPr>
        <w:spacing w:after="0"/>
        <w:ind w:left="0"/>
        <w:jc w:val="both"/>
      </w:pPr>
      <w:r>
        <w:rPr>
          <w:rFonts w:ascii="Times New Roman"/>
          <w:b w:val="false"/>
          <w:i w:val="false"/>
          <w:color w:val="000000"/>
          <w:sz w:val="28"/>
        </w:rPr>
        <w:t>
      ____________________________ подпись (Ф.И.О) (печать при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w:t>
            </w:r>
            <w:r>
              <w:br/>
            </w:r>
            <w:r>
              <w:rPr>
                <w:rFonts w:ascii="Times New Roman"/>
                <w:b w:val="false"/>
                <w:i w:val="false"/>
                <w:color w:val="000000"/>
                <w:sz w:val="20"/>
              </w:rPr>
              <w:t xml:space="preserve">(области, района, города областного значения) </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наименование государственного органа) от</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для физического лица/</w:t>
            </w:r>
            <w:r>
              <w:br/>
            </w:r>
            <w:r>
              <w:rPr>
                <w:rFonts w:ascii="Times New Roman"/>
                <w:b w:val="false"/>
                <w:i w:val="false"/>
                <w:color w:val="000000"/>
                <w:sz w:val="20"/>
              </w:rPr>
              <w:t>наименование организации для юридических</w:t>
            </w:r>
            <w:r>
              <w:br/>
            </w:r>
            <w:r>
              <w:rPr>
                <w:rFonts w:ascii="Times New Roman"/>
                <w:b w:val="false"/>
                <w:i w:val="false"/>
                <w:color w:val="000000"/>
                <w:sz w:val="20"/>
              </w:rPr>
              <w:t>лиц и (или) по доверенности)</w:t>
            </w:r>
            <w:r>
              <w:br/>
            </w:r>
            <w:r>
              <w:rPr>
                <w:rFonts w:ascii="Times New Roman"/>
                <w:b w:val="false"/>
                <w:i w:val="false"/>
                <w:color w:val="000000"/>
                <w:sz w:val="20"/>
              </w:rPr>
              <w:t>(ИИН/БИН) Адрес</w:t>
            </w:r>
            <w:r>
              <w:br/>
            </w:r>
            <w:r>
              <w:rPr>
                <w:rFonts w:ascii="Times New Roman"/>
                <w:b w:val="false"/>
                <w:i w:val="false"/>
                <w:color w:val="000000"/>
                <w:sz w:val="20"/>
              </w:rPr>
              <w:t>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17" w:id="203"/>
    <w:p>
      <w:pPr>
        <w:spacing w:after="0"/>
        <w:ind w:left="0"/>
        <w:jc w:val="left"/>
      </w:pPr>
      <w:r>
        <w:rPr>
          <w:rFonts w:ascii="Times New Roman"/>
          <w:b/>
          <w:i w:val="false"/>
          <w:color w:val="000000"/>
        </w:rPr>
        <w:t xml:space="preserve"> Гарантийное письмо</w:t>
      </w:r>
    </w:p>
    <w:bookmarkEnd w:id="203"/>
    <w:bookmarkStart w:name="z218" w:id="204"/>
    <w:p>
      <w:pPr>
        <w:spacing w:after="0"/>
        <w:ind w:left="0"/>
        <w:jc w:val="both"/>
      </w:pPr>
      <w:r>
        <w:rPr>
          <w:rFonts w:ascii="Times New Roman"/>
          <w:b w:val="false"/>
          <w:i w:val="false"/>
          <w:color w:val="000000"/>
          <w:sz w:val="28"/>
        </w:rPr>
        <w:t>
      __________________________________________________ ___________</w:t>
      </w:r>
    </w:p>
    <w:bookmarkEnd w:id="204"/>
    <w:bookmarkStart w:name="z219" w:id="205"/>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w:t>
      </w:r>
    </w:p>
    <w:bookmarkEnd w:id="205"/>
    <w:bookmarkStart w:name="z220" w:id="206"/>
    <w:p>
      <w:pPr>
        <w:spacing w:after="0"/>
        <w:ind w:left="0"/>
        <w:jc w:val="both"/>
      </w:pPr>
      <w:r>
        <w:rPr>
          <w:rFonts w:ascii="Times New Roman"/>
          <w:b w:val="false"/>
          <w:i w:val="false"/>
          <w:color w:val="000000"/>
          <w:sz w:val="28"/>
        </w:rPr>
        <w:t>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________________________________по адресу:</w:t>
      </w:r>
    </w:p>
    <w:bookmarkEnd w:id="206"/>
    <w:bookmarkStart w:name="z221" w:id="207"/>
    <w:p>
      <w:pPr>
        <w:spacing w:after="0"/>
        <w:ind w:left="0"/>
        <w:jc w:val="both"/>
      </w:pPr>
      <w:r>
        <w:rPr>
          <w:rFonts w:ascii="Times New Roman"/>
          <w:b w:val="false"/>
          <w:i w:val="false"/>
          <w:color w:val="000000"/>
          <w:sz w:val="28"/>
        </w:rPr>
        <w:t>
      (указывается причина)</w:t>
      </w:r>
    </w:p>
    <w:bookmarkEnd w:id="207"/>
    <w:bookmarkStart w:name="z222" w:id="208"/>
    <w:p>
      <w:pPr>
        <w:spacing w:after="0"/>
        <w:ind w:left="0"/>
        <w:jc w:val="both"/>
      </w:pPr>
      <w:r>
        <w:rPr>
          <w:rFonts w:ascii="Times New Roman"/>
          <w:b w:val="false"/>
          <w:i w:val="false"/>
          <w:color w:val="000000"/>
          <w:sz w:val="28"/>
        </w:rPr>
        <w:t>
      ____________________________________________________согласно акту обследования зеленых насаждений от " " 20_____ года.</w:t>
      </w:r>
    </w:p>
    <w:bookmarkEnd w:id="208"/>
    <w:bookmarkStart w:name="z223" w:id="209"/>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209"/>
    <w:bookmarkStart w:name="z224" w:id="210"/>
    <w:p>
      <w:pPr>
        <w:spacing w:after="0"/>
        <w:ind w:left="0"/>
        <w:jc w:val="both"/>
      </w:pPr>
      <w:r>
        <w:rPr>
          <w:rFonts w:ascii="Times New Roman"/>
          <w:b w:val="false"/>
          <w:i w:val="false"/>
          <w:color w:val="000000"/>
          <w:sz w:val="28"/>
        </w:rPr>
        <w:t>
      __________________________________________________________________</w:t>
      </w:r>
    </w:p>
    <w:bookmarkEnd w:id="210"/>
    <w:bookmarkStart w:name="z225" w:id="211"/>
    <w:p>
      <w:pPr>
        <w:spacing w:after="0"/>
        <w:ind w:left="0"/>
        <w:jc w:val="both"/>
      </w:pPr>
      <w:r>
        <w:rPr>
          <w:rFonts w:ascii="Times New Roman"/>
          <w:b w:val="false"/>
          <w:i w:val="false"/>
          <w:color w:val="000000"/>
          <w:sz w:val="28"/>
        </w:rPr>
        <w:t>
      (наименование физического или юридического лица)</w:t>
      </w:r>
    </w:p>
    <w:bookmarkEnd w:id="211"/>
    <w:bookmarkStart w:name="z226" w:id="212"/>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212"/>
    <w:bookmarkStart w:name="z227" w:id="213"/>
    <w:p>
      <w:pPr>
        <w:spacing w:after="0"/>
        <w:ind w:left="0"/>
        <w:jc w:val="both"/>
      </w:pPr>
      <w:r>
        <w:rPr>
          <w:rFonts w:ascii="Times New Roman"/>
          <w:b w:val="false"/>
          <w:i w:val="false"/>
          <w:color w:val="000000"/>
          <w:sz w:val="28"/>
        </w:rPr>
        <w:t>
      Дата: "___" ____________ 20__ года</w:t>
      </w:r>
    </w:p>
    <w:bookmarkEnd w:id="213"/>
    <w:bookmarkStart w:name="z228" w:id="214"/>
    <w:p>
      <w:pPr>
        <w:spacing w:after="0"/>
        <w:ind w:left="0"/>
        <w:jc w:val="both"/>
      </w:pPr>
      <w:r>
        <w:rPr>
          <w:rFonts w:ascii="Times New Roman"/>
          <w:b w:val="false"/>
          <w:i w:val="false"/>
          <w:color w:val="000000"/>
          <w:sz w:val="28"/>
        </w:rPr>
        <w:t>
      _______________________________________________________________</w:t>
      </w:r>
    </w:p>
    <w:bookmarkEnd w:id="214"/>
    <w:bookmarkStart w:name="z229" w:id="215"/>
    <w:p>
      <w:pPr>
        <w:spacing w:after="0"/>
        <w:ind w:left="0"/>
        <w:jc w:val="both"/>
      </w:pPr>
      <w:r>
        <w:rPr>
          <w:rFonts w:ascii="Times New Roman"/>
          <w:b w:val="false"/>
          <w:i w:val="false"/>
          <w:color w:val="000000"/>
          <w:sz w:val="28"/>
        </w:rPr>
        <w:t>
      ФИО и подпись руководителя (печать при наличии)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31" w:id="216"/>
    <w:p>
      <w:pPr>
        <w:spacing w:after="0"/>
        <w:ind w:left="0"/>
        <w:jc w:val="both"/>
      </w:pPr>
      <w:r>
        <w:rPr>
          <w:rFonts w:ascii="Times New Roman"/>
          <w:b w:val="false"/>
          <w:i w:val="false"/>
          <w:color w:val="000000"/>
          <w:sz w:val="28"/>
        </w:rPr>
        <w:t>
      Акт приживаемости зеленых насаждений "___" _________ 20___ года</w:t>
      </w:r>
    </w:p>
    <w:bookmarkEnd w:id="216"/>
    <w:bookmarkStart w:name="z232" w:id="217"/>
    <w:p>
      <w:pPr>
        <w:spacing w:after="0"/>
        <w:ind w:left="0"/>
        <w:jc w:val="both"/>
      </w:pPr>
      <w:r>
        <w:rPr>
          <w:rFonts w:ascii="Times New Roman"/>
          <w:b w:val="false"/>
          <w:i w:val="false"/>
          <w:color w:val="000000"/>
          <w:sz w:val="28"/>
        </w:rPr>
        <w:t>
      Адрес посаженных зеленых насаждений: 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8"/>
    <w:p>
      <w:pPr>
        <w:spacing w:after="0"/>
        <w:ind w:left="0"/>
        <w:jc w:val="both"/>
      </w:pPr>
      <w:r>
        <w:rPr>
          <w:rFonts w:ascii="Times New Roman"/>
          <w:b w:val="false"/>
          <w:i w:val="false"/>
          <w:color w:val="000000"/>
          <w:sz w:val="28"/>
        </w:rPr>
        <w:t>
      Представитель физического или юридического лица</w:t>
      </w:r>
    </w:p>
    <w:bookmarkEnd w:id="218"/>
    <w:bookmarkStart w:name="z234" w:id="219"/>
    <w:p>
      <w:pPr>
        <w:spacing w:after="0"/>
        <w:ind w:left="0"/>
        <w:jc w:val="both"/>
      </w:pPr>
      <w:r>
        <w:rPr>
          <w:rFonts w:ascii="Times New Roman"/>
          <w:b w:val="false"/>
          <w:i w:val="false"/>
          <w:color w:val="000000"/>
          <w:sz w:val="28"/>
        </w:rPr>
        <w:t>
      ________________________________ подпись (Ф.И.О) (печать при наличии)</w:t>
      </w:r>
    </w:p>
    <w:bookmarkEnd w:id="219"/>
    <w:bookmarkStart w:name="z235" w:id="220"/>
    <w:p>
      <w:pPr>
        <w:spacing w:after="0"/>
        <w:ind w:left="0"/>
        <w:jc w:val="both"/>
      </w:pPr>
      <w:r>
        <w:rPr>
          <w:rFonts w:ascii="Times New Roman"/>
          <w:b w:val="false"/>
          <w:i w:val="false"/>
          <w:color w:val="000000"/>
          <w:sz w:val="28"/>
        </w:rPr>
        <w:t>
      Должностное лицо уполномоченного органа</w:t>
      </w:r>
    </w:p>
    <w:bookmarkEnd w:id="220"/>
    <w:bookmarkStart w:name="z236" w:id="221"/>
    <w:p>
      <w:pPr>
        <w:spacing w:after="0"/>
        <w:ind w:left="0"/>
        <w:jc w:val="both"/>
      </w:pPr>
      <w:r>
        <w:rPr>
          <w:rFonts w:ascii="Times New Roman"/>
          <w:b w:val="false"/>
          <w:i w:val="false"/>
          <w:color w:val="000000"/>
          <w:sz w:val="28"/>
        </w:rPr>
        <w:t>
      _____________________________________ подпись (Ф.И.О) (печать при наличии)</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