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ba51" w14:textId="d77b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22 декабря 2023 года № 11/49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7 ноября 2024 года № 23/142.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2024-2026 годы согласно приложениям 1, 2 и 3 соответственно, в том числе на 2024 годов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10 629 567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1 888 165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8 711 296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10 825 261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827 637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972 938;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- 809 289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809 289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758 896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206 044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2022 год норматив распределения общей суммы поступлений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Корпоративный подоходный налог с юридических лиц, за исключением доходов от крупных субъектов хозяйствования и организаций нефтяного сектора в областной бюджет 50 процент, в бюджет района 50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облагаемых у источника выплаты в областной бюджет 55,9 процент, в бюджет района 44,1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 иностранных граждан, не облагаемых у источника выплатыв областной бюджет 50 процент, в бюджет района 50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52,1 процент, в бюджет района 47,9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ноябрь 2024 года №23/142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2023 года №11/49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