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4950" w14:textId="eb54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22 декабря 2023 года № 11/49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23 апреля 2024 года № 16/75.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2024-2026 годы согласно приложениям 1, 2 и 3 соответственно, в том числе на 2024 годов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9 160 814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1 886 321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7 244 398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9 386 148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602 329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747 630;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827 663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10 376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Корпоративный подоходный налог с юридических лиц, за исключением доходов от крупных субъектов хозяйствования и организаций нефтяного сектора в областной бюджет 50 процент, в бюджет района 50 процент.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Индивидуальный подоходный налог с доходов, облагаемых у источника выплаты в областной бюджет 55,9 процент, в бюджет района 44,1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 иностранных граждан, не облагаемых у источника выплатыв областной бюджет 46,9 процент, в бюджет района 53,1 процент.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52,1 процент, в бюджет района 47,9 процент.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 2024 года №16/75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№11/49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23апреля 2024 года №16/75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№11/49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