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d05b" w14:textId="27fd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Туркестанского областного маслихата от 10 июля 2023 года № 4/50-VIII "Об утверждении Правил создания, содержания и защиты зеленых насаждений населенных пунктов Туркестанской области, Правил благоустройства территорий городов и населенных пунктов Туркестанской области"</w:t>
      </w:r>
    </w:p>
    <w:p>
      <w:pPr>
        <w:spacing w:after="0"/>
        <w:ind w:left="0"/>
        <w:jc w:val="both"/>
      </w:pPr>
      <w:r>
        <w:rPr>
          <w:rFonts w:ascii="Times New Roman"/>
          <w:b w:val="false"/>
          <w:i w:val="false"/>
          <w:color w:val="000000"/>
          <w:sz w:val="28"/>
        </w:rPr>
        <w:t>Решение Туркестанского областного маслихата от 26 июня 2024 года № 10/145-VIII</w:t>
      </w:r>
    </w:p>
    <w:p>
      <w:pPr>
        <w:spacing w:after="0"/>
        <w:ind w:left="0"/>
        <w:jc w:val="both"/>
      </w:pPr>
      <w:bookmarkStart w:name="z1" w:id="0"/>
      <w:r>
        <w:rPr>
          <w:rFonts w:ascii="Times New Roman"/>
          <w:b w:val="false"/>
          <w:i w:val="false"/>
          <w:color w:val="000000"/>
          <w:sz w:val="28"/>
        </w:rPr>
        <w:t>
      Туркестанский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Туркестанского областного маслихата от 10 июля 2023 года № 4/50-VIII "Об утверждении Правил создания, содержания и защиты зеленых насаждений населенных пунктов Туркестанской области, Правил благоустройства территорий городов и населенных пунктов Туркестанской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Туркестанской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Туркестанского областного маслихата</w:t>
            </w:r>
            <w:r>
              <w:br/>
            </w:r>
            <w:r>
              <w:rPr>
                <w:rFonts w:ascii="Times New Roman"/>
                <w:b w:val="false"/>
                <w:i w:val="false"/>
                <w:color w:val="000000"/>
                <w:sz w:val="20"/>
              </w:rPr>
              <w:t>от 26 июня 2024 года №10/145-VIІІ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Туркестанского областного маслихата</w:t>
            </w:r>
            <w:r>
              <w:br/>
            </w:r>
            <w:r>
              <w:rPr>
                <w:rFonts w:ascii="Times New Roman"/>
                <w:b w:val="false"/>
                <w:i w:val="false"/>
                <w:color w:val="000000"/>
                <w:sz w:val="20"/>
              </w:rPr>
              <w:t>от 10 июля 2023 года № 4/50-VIІІ</w:t>
            </w:r>
          </w:p>
        </w:tc>
      </w:tr>
    </w:tbl>
    <w:p>
      <w:pPr>
        <w:spacing w:after="0"/>
        <w:ind w:left="0"/>
        <w:jc w:val="left"/>
      </w:pPr>
      <w:r>
        <w:rPr>
          <w:rFonts w:ascii="Times New Roman"/>
          <w:b/>
          <w:i w:val="false"/>
          <w:color w:val="000000"/>
        </w:rPr>
        <w:t xml:space="preserve"> Правила благоустройства территорий городов и населенных пунктов Туркестанской области Глава 1. Общие положения</w:t>
      </w:r>
    </w:p>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Туркестанской области (далее – Правила) разработаны в соответствии с подпунктом 23-15)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p>
      <w:pPr>
        <w:spacing w:after="0"/>
        <w:ind w:left="0"/>
        <w:jc w:val="both"/>
      </w:pPr>
      <w:r>
        <w:rPr>
          <w:rFonts w:ascii="Times New Roman"/>
          <w:b w:val="false"/>
          <w:i w:val="false"/>
          <w:color w:val="000000"/>
          <w:sz w:val="28"/>
        </w:rPr>
        <w:t>
      4. К элементам благоустройства территории относятся:</w:t>
      </w:r>
    </w:p>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p>
      <w:pPr>
        <w:spacing w:after="0"/>
        <w:ind w:left="0"/>
        <w:jc w:val="both"/>
      </w:pPr>
      <w:r>
        <w:rPr>
          <w:rFonts w:ascii="Times New Roman"/>
          <w:b w:val="false"/>
          <w:i w:val="false"/>
          <w:color w:val="000000"/>
          <w:sz w:val="28"/>
        </w:rPr>
        <w:t>
      7. Основные требования к скамейкам:</w:t>
      </w:r>
    </w:p>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p>
      <w:pPr>
        <w:spacing w:after="0"/>
        <w:ind w:left="0"/>
        <w:jc w:val="both"/>
      </w:pPr>
      <w:r>
        <w:rPr>
          <w:rFonts w:ascii="Times New Roman"/>
          <w:b w:val="false"/>
          <w:i w:val="false"/>
          <w:color w:val="000000"/>
          <w:sz w:val="28"/>
        </w:rPr>
        <w:t>
      9. Основные требования к ограждениям:</w:t>
      </w:r>
    </w:p>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p>
      <w:pPr>
        <w:spacing w:after="0"/>
        <w:ind w:left="0"/>
        <w:jc w:val="both"/>
      </w:pPr>
      <w:r>
        <w:rPr>
          <w:rFonts w:ascii="Times New Roman"/>
          <w:b w:val="false"/>
          <w:i w:val="false"/>
          <w:color w:val="000000"/>
          <w:sz w:val="28"/>
        </w:rPr>
        <w:t>
      16. Благоустройство населенного пункта обеспечивается:</w:t>
      </w:r>
    </w:p>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xml:space="preserve">
      2) участниками благоустройства территорий; </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p>
      <w:pPr>
        <w:spacing w:after="0"/>
        <w:ind w:left="0"/>
        <w:jc w:val="both"/>
      </w:pPr>
      <w:r>
        <w:rPr>
          <w:rFonts w:ascii="Times New Roman"/>
          <w:b w:val="false"/>
          <w:i w:val="false"/>
          <w:color w:val="000000"/>
          <w:sz w:val="28"/>
        </w:rPr>
        <w:t>
      26. Содержание территорий включает в себя:</w:t>
      </w:r>
    </w:p>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p>
      <w:pPr>
        <w:spacing w:after="0"/>
        <w:ind w:left="0"/>
        <w:jc w:val="left"/>
      </w:pPr>
      <w:r>
        <w:rPr>
          <w:rFonts w:ascii="Times New Roman"/>
          <w:b/>
          <w:i w:val="false"/>
          <w:color w:val="000000"/>
        </w:rPr>
        <w:t xml:space="preserve"> Параграф 2. Организация мероприятий по содержанию улиц и дорог</w:t>
      </w:r>
    </w:p>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p>
      <w:pPr>
        <w:spacing w:after="0"/>
        <w:ind w:left="0"/>
        <w:jc w:val="both"/>
      </w:pPr>
      <w:r>
        <w:rPr>
          <w:rFonts w:ascii="Times New Roman"/>
          <w:b w:val="false"/>
          <w:i w:val="false"/>
          <w:color w:val="000000"/>
          <w:sz w:val="28"/>
        </w:rPr>
        <w:t>
      28. Содержание территорий дорог включает в себя текущий:</w:t>
      </w:r>
    </w:p>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p>
      <w:pPr>
        <w:spacing w:after="0"/>
        <w:ind w:left="0"/>
        <w:jc w:val="both"/>
      </w:pPr>
      <w:r>
        <w:rPr>
          <w:rFonts w:ascii="Times New Roman"/>
          <w:b w:val="false"/>
          <w:i w:val="false"/>
          <w:color w:val="000000"/>
          <w:sz w:val="28"/>
        </w:rPr>
        <w:t>
      31. Собственники индивидуальных жилых домов:</w:t>
      </w:r>
    </w:p>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p>
      <w:pPr>
        <w:spacing w:after="0"/>
        <w:ind w:left="0"/>
        <w:jc w:val="both"/>
      </w:pPr>
      <w:r>
        <w:rPr>
          <w:rFonts w:ascii="Times New Roman"/>
          <w:b w:val="false"/>
          <w:i w:val="false"/>
          <w:color w:val="000000"/>
          <w:sz w:val="28"/>
        </w:rPr>
        <w:t>
      40. На территории населенного пункта не допускается:</w:t>
      </w:r>
    </w:p>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p>
      <w:pPr>
        <w:spacing w:after="0"/>
        <w:ind w:left="0"/>
        <w:jc w:val="both"/>
      </w:pPr>
      <w:r>
        <w:rPr>
          <w:rFonts w:ascii="Times New Roman"/>
          <w:b w:val="false"/>
          <w:i w:val="false"/>
          <w:color w:val="000000"/>
          <w:sz w:val="28"/>
        </w:rPr>
        <w:t>
      73. Не допускается купание в фонтанах.</w:t>
      </w:r>
    </w:p>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p>
      <w:pPr>
        <w:spacing w:after="0"/>
        <w:ind w:left="0"/>
        <w:jc w:val="left"/>
      </w:pPr>
      <w:r>
        <w:rPr>
          <w:rFonts w:ascii="Times New Roman"/>
          <w:b/>
          <w:i w:val="false"/>
          <w:color w:val="000000"/>
        </w:rPr>
        <w:t xml:space="preserve"> Параграф 8. Содержание временных строений</w:t>
      </w:r>
    </w:p>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p>
      <w:pPr>
        <w:spacing w:after="0"/>
        <w:ind w:left="0"/>
        <w:jc w:val="left"/>
      </w:pPr>
      <w:r>
        <w:rPr>
          <w:rFonts w:ascii="Times New Roman"/>
          <w:b/>
          <w:i w:val="false"/>
          <w:color w:val="000000"/>
        </w:rPr>
        <w:t xml:space="preserve"> Параграф 9. Содержание мест производства строительных работ</w:t>
      </w:r>
    </w:p>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pPr>
        <w:spacing w:after="0"/>
        <w:ind w:left="0"/>
        <w:jc w:val="left"/>
      </w:pPr>
      <w:r>
        <w:rPr>
          <w:rFonts w:ascii="Times New Roman"/>
          <w:b/>
          <w:i w:val="false"/>
          <w:color w:val="000000"/>
        </w:rPr>
        <w:t xml:space="preserve"> Параграф 10. Содержание детских и спортивных площадок</w:t>
      </w:r>
    </w:p>
    <w:p>
      <w:pPr>
        <w:spacing w:after="0"/>
        <w:ind w:left="0"/>
        <w:jc w:val="both"/>
      </w:pPr>
      <w:r>
        <w:rPr>
          <w:rFonts w:ascii="Times New Roman"/>
          <w:b w:val="false"/>
          <w:i w:val="false"/>
          <w:color w:val="000000"/>
          <w:sz w:val="28"/>
        </w:rPr>
        <w:t>
      83. Детские и спортивные площадки:</w:t>
      </w:r>
    </w:p>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pPr>
        <w:spacing w:after="0"/>
        <w:ind w:left="0"/>
        <w:jc w:val="left"/>
      </w:pPr>
      <w:r>
        <w:rPr>
          <w:rFonts w:ascii="Times New Roman"/>
          <w:b/>
          <w:i w:val="false"/>
          <w:color w:val="000000"/>
        </w:rPr>
        <w:t xml:space="preserve"> Параграф 11. Содержание контейнерных площадок</w:t>
      </w:r>
    </w:p>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p>
      <w:pPr>
        <w:spacing w:after="0"/>
        <w:ind w:left="0"/>
        <w:jc w:val="left"/>
      </w:pPr>
      <w:r>
        <w:rPr>
          <w:rFonts w:ascii="Times New Roman"/>
          <w:b/>
          <w:i w:val="false"/>
          <w:color w:val="000000"/>
        </w:rPr>
        <w:t xml:space="preserve"> Параграф 12. Содержание площадок для выгула домашних животных</w:t>
      </w:r>
    </w:p>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w:t>
      </w:r>
    </w:p>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p>
      <w:pPr>
        <w:spacing w:after="0"/>
        <w:ind w:left="0"/>
        <w:jc w:val="left"/>
      </w:pPr>
      <w:r>
        <w:rPr>
          <w:rFonts w:ascii="Times New Roman"/>
          <w:b/>
          <w:i w:val="false"/>
          <w:color w:val="000000"/>
        </w:rPr>
        <w:t xml:space="preserve"> Параграф 13. Содержание территории автостоянок</w:t>
      </w:r>
    </w:p>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p>
      <w:pPr>
        <w:spacing w:after="0"/>
        <w:ind w:left="0"/>
        <w:jc w:val="both"/>
      </w:pPr>
      <w:r>
        <w:rPr>
          <w:rFonts w:ascii="Times New Roman"/>
          <w:b w:val="false"/>
          <w:i w:val="false"/>
          <w:color w:val="000000"/>
          <w:sz w:val="28"/>
        </w:rPr>
        <w:t>
      98. На придомовых территориях не допускается:</w:t>
      </w:r>
    </w:p>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 Параграф 1. Организация мероприятий по уборке территории населенных пунктов</w:t>
      </w:r>
    </w:p>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p>
      <w:pPr>
        <w:spacing w:after="0"/>
        <w:ind w:left="0"/>
        <w:jc w:val="both"/>
      </w:pPr>
      <w:r>
        <w:rPr>
          <w:rFonts w:ascii="Times New Roman"/>
          <w:b w:val="false"/>
          <w:i w:val="false"/>
          <w:color w:val="000000"/>
          <w:sz w:val="28"/>
        </w:rPr>
        <w:t>
      142. К мероприятиям второй очереди относятся:</w:t>
      </w:r>
    </w:p>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pPr>
        <w:spacing w:after="0"/>
        <w:ind w:left="0"/>
        <w:jc w:val="both"/>
      </w:pPr>
      <w:r>
        <w:rPr>
          <w:rFonts w:ascii="Times New Roman"/>
          <w:b w:val="false"/>
          <w:i w:val="false"/>
          <w:color w:val="000000"/>
          <w:sz w:val="28"/>
        </w:rPr>
        <w:t>
      160. Не допускается:</w:t>
      </w:r>
    </w:p>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p>
      <w:pPr>
        <w:spacing w:after="0"/>
        <w:ind w:left="0"/>
        <w:jc w:val="both"/>
      </w:pPr>
      <w:r>
        <w:rPr>
          <w:rFonts w:ascii="Times New Roman"/>
          <w:b w:val="false"/>
          <w:i w:val="false"/>
          <w:color w:val="000000"/>
          <w:sz w:val="28"/>
        </w:rPr>
        <w:t>
      165. В летний период уборки производятся следующие виды работ:</w:t>
      </w:r>
    </w:p>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p>
      <w:pPr>
        <w:spacing w:after="0"/>
        <w:ind w:left="0"/>
        <w:jc w:val="both"/>
      </w:pPr>
      <w:r>
        <w:rPr>
          <w:rFonts w:ascii="Times New Roman"/>
          <w:b w:val="false"/>
          <w:i w:val="false"/>
          <w:color w:val="000000"/>
          <w:sz w:val="28"/>
        </w:rPr>
        <w:t>
      167. Подметание городских территорий производится:</w:t>
      </w:r>
    </w:p>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p>
      <w:pPr>
        <w:spacing w:after="0"/>
        <w:ind w:left="0"/>
        <w:jc w:val="both"/>
      </w:pPr>
      <w:r>
        <w:rPr>
          <w:rFonts w:ascii="Times New Roman"/>
          <w:b w:val="false"/>
          <w:i w:val="false"/>
          <w:color w:val="000000"/>
          <w:sz w:val="28"/>
        </w:rPr>
        <w:t xml:space="preserve">
      173. Скос травы производится с последующим вывозом. </w:t>
      </w:r>
    </w:p>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p>
      <w:pPr>
        <w:spacing w:after="0"/>
        <w:ind w:left="0"/>
        <w:jc w:val="both"/>
      </w:pPr>
      <w:r>
        <w:rPr>
          <w:rFonts w:ascii="Times New Roman"/>
          <w:b w:val="false"/>
          <w:i w:val="false"/>
          <w:color w:val="000000"/>
          <w:sz w:val="28"/>
        </w:rPr>
        <w:t>
      175. При производстве летней уборки не допускается:</w:t>
      </w:r>
    </w:p>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