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e6b3" w14:textId="e60e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Возвышенского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23-7. Утратило силу решением маслихата района Магжана Жумабаева Северо-Казахстанской области от 12 мая 2025 года № 27-8</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Возвышенского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78 988,4 тысяч тенге:</w:t>
      </w:r>
    </w:p>
    <w:bookmarkEnd w:id="3"/>
    <w:p>
      <w:pPr>
        <w:spacing w:after="0"/>
        <w:ind w:left="0"/>
        <w:jc w:val="both"/>
      </w:pPr>
      <w:r>
        <w:rPr>
          <w:rFonts w:ascii="Times New Roman"/>
          <w:b w:val="false"/>
          <w:i w:val="false"/>
          <w:color w:val="000000"/>
          <w:sz w:val="28"/>
        </w:rPr>
        <w:t>
      налоговые поступления – 21 325,0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130,0 тысяч тенге;</w:t>
      </w:r>
    </w:p>
    <w:p>
      <w:pPr>
        <w:spacing w:after="0"/>
        <w:ind w:left="0"/>
        <w:jc w:val="both"/>
      </w:pPr>
      <w:r>
        <w:rPr>
          <w:rFonts w:ascii="Times New Roman"/>
          <w:b w:val="false"/>
          <w:i w:val="false"/>
          <w:color w:val="000000"/>
          <w:sz w:val="28"/>
        </w:rPr>
        <w:t>
      поступления трансфертов – 57 533,4 тысяч тенге;</w:t>
      </w:r>
    </w:p>
    <w:p>
      <w:pPr>
        <w:spacing w:after="0"/>
        <w:ind w:left="0"/>
        <w:jc w:val="both"/>
      </w:pPr>
      <w:r>
        <w:rPr>
          <w:rFonts w:ascii="Times New Roman"/>
          <w:b w:val="false"/>
          <w:i w:val="false"/>
          <w:color w:val="000000"/>
          <w:sz w:val="28"/>
        </w:rPr>
        <w:t>
      2) затраты – 79 781,5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-793,1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793,1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793,1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4"/>
    <w:bookmarkStart w:name="z25" w:id="5"/>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Возвышенского сельского округа расположено заявленное при постановке на регистрационный учет в органе государственных доходов:</w:t>
      </w:r>
    </w:p>
    <w:bookmarkEnd w:id="5"/>
    <w:bookmarkStart w:name="z26" w:id="6"/>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6"/>
    <w:bookmarkStart w:name="z27" w:id="7"/>
    <w:p>
      <w:pPr>
        <w:spacing w:after="0"/>
        <w:ind w:left="0"/>
        <w:jc w:val="both"/>
      </w:pPr>
      <w:r>
        <w:rPr>
          <w:rFonts w:ascii="Times New Roman"/>
          <w:b w:val="false"/>
          <w:i w:val="false"/>
          <w:color w:val="000000"/>
          <w:sz w:val="28"/>
        </w:rPr>
        <w:t>
      место жительства – для остальных физических лиц;</w:t>
      </w:r>
    </w:p>
    <w:bookmarkEnd w:id="7"/>
    <w:bookmarkStart w:name="z28" w:id="8"/>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Возвышенского сельского округа;</w:t>
      </w:r>
    </w:p>
    <w:bookmarkEnd w:id="8"/>
    <w:bookmarkStart w:name="z29" w:id="9"/>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Возвышенского сельского округа;</w:t>
      </w:r>
    </w:p>
    <w:bookmarkEnd w:id="9"/>
    <w:bookmarkStart w:name="z30" w:id="10"/>
    <w:p>
      <w:pPr>
        <w:spacing w:after="0"/>
        <w:ind w:left="0"/>
        <w:jc w:val="both"/>
      </w:pPr>
      <w:r>
        <w:rPr>
          <w:rFonts w:ascii="Times New Roman"/>
          <w:b w:val="false"/>
          <w:i w:val="false"/>
          <w:color w:val="000000"/>
          <w:sz w:val="28"/>
        </w:rPr>
        <w:t>
      3-1) единый земельный налог;</w:t>
      </w:r>
    </w:p>
    <w:bookmarkEnd w:id="10"/>
    <w:bookmarkStart w:name="z31" w:id="11"/>
    <w:p>
      <w:pPr>
        <w:spacing w:after="0"/>
        <w:ind w:left="0"/>
        <w:jc w:val="both"/>
      </w:pPr>
      <w:r>
        <w:rPr>
          <w:rFonts w:ascii="Times New Roman"/>
          <w:b w:val="false"/>
          <w:i w:val="false"/>
          <w:color w:val="000000"/>
          <w:sz w:val="28"/>
        </w:rPr>
        <w:t xml:space="preserve">
      4) налог на транспортные средства: </w:t>
      </w:r>
    </w:p>
    <w:bookmarkEnd w:id="11"/>
    <w:bookmarkStart w:name="z32" w:id="1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Возвышенского сельского округа;</w:t>
      </w:r>
    </w:p>
    <w:bookmarkEnd w:id="12"/>
    <w:bookmarkStart w:name="z33" w:id="1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Возвышенского сельского округа;</w:t>
      </w:r>
    </w:p>
    <w:bookmarkEnd w:id="13"/>
    <w:bookmarkStart w:name="z34" w:id="14"/>
    <w:p>
      <w:pPr>
        <w:spacing w:after="0"/>
        <w:ind w:left="0"/>
        <w:jc w:val="both"/>
      </w:pPr>
      <w:r>
        <w:rPr>
          <w:rFonts w:ascii="Times New Roman"/>
          <w:b w:val="false"/>
          <w:i w:val="false"/>
          <w:color w:val="000000"/>
          <w:sz w:val="28"/>
        </w:rPr>
        <w:t>
      4-1) плата за пользование земельными участками.</w:t>
      </w:r>
    </w:p>
    <w:bookmarkEnd w:id="14"/>
    <w:bookmarkStart w:name="z35" w:id="1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15"/>
    <w:bookmarkStart w:name="z36" w:id="1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16"/>
    <w:bookmarkStart w:name="z37" w:id="1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17"/>
    <w:bookmarkStart w:name="z38" w:id="18"/>
    <w:p>
      <w:pPr>
        <w:spacing w:after="0"/>
        <w:ind w:left="0"/>
        <w:jc w:val="both"/>
      </w:pPr>
      <w:r>
        <w:rPr>
          <w:rFonts w:ascii="Times New Roman"/>
          <w:b w:val="false"/>
          <w:i w:val="false"/>
          <w:color w:val="000000"/>
          <w:sz w:val="28"/>
        </w:rPr>
        <w:t>
      3) плата за продажу права аренды земельных участков.</w:t>
      </w:r>
    </w:p>
    <w:bookmarkEnd w:id="18"/>
    <w:bookmarkStart w:name="z39" w:id="19"/>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26 260,0 тысячи тенге.</w:t>
      </w:r>
    </w:p>
    <w:bookmarkEnd w:id="19"/>
    <w:bookmarkStart w:name="z40" w:id="20"/>
    <w:p>
      <w:pPr>
        <w:spacing w:after="0"/>
        <w:ind w:left="0"/>
        <w:jc w:val="both"/>
      </w:pPr>
      <w:r>
        <w:rPr>
          <w:rFonts w:ascii="Times New Roman"/>
          <w:b w:val="false"/>
          <w:i w:val="false"/>
          <w:color w:val="000000"/>
          <w:sz w:val="28"/>
        </w:rPr>
        <w:t>
      5. Учесть в бюджете Возвышенского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0"/>
    <w:bookmarkStart w:name="z41" w:id="21"/>
    <w:p>
      <w:pPr>
        <w:spacing w:after="0"/>
        <w:ind w:left="0"/>
        <w:jc w:val="both"/>
      </w:pPr>
      <w:r>
        <w:rPr>
          <w:rFonts w:ascii="Times New Roman"/>
          <w:b w:val="false"/>
          <w:i w:val="false"/>
          <w:color w:val="000000"/>
          <w:sz w:val="28"/>
        </w:rPr>
        <w:t>
      6. Учесть в бюджете Возвышенского сельского округа на 2024 год поступление текущих трансфертов из районного бюджета, в том числе:</w:t>
      </w:r>
    </w:p>
    <w:bookmarkEnd w:id="21"/>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3) на благоустройство населенных пунктов сельского округа;</w:t>
      </w:r>
    </w:p>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25-9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Возвышенского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23-7</w:t>
            </w:r>
          </w:p>
        </w:tc>
      </w:tr>
    </w:tbl>
    <w:bookmarkStart w:name="z52" w:id="23"/>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2025 год </w:t>
      </w:r>
    </w:p>
    <w:bookmarkEnd w:id="23"/>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23-7</w:t>
            </w:r>
          </w:p>
        </w:tc>
      </w:tr>
    </w:tbl>
    <w:bookmarkStart w:name="z61" w:id="24"/>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2026 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Сумма,</w:t>
            </w:r>
          </w:p>
          <w:bookmarkEnd w:id="2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Сумма,</w:t>
            </w:r>
          </w:p>
          <w:bookmarkEnd w:id="2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Сумма,</w:t>
            </w:r>
          </w:p>
          <w:bookmarkEnd w:id="2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23-7</w:t>
            </w:r>
          </w:p>
        </w:tc>
      </w:tr>
    </w:tbl>
    <w:bookmarkStart w:name="z70" w:id="28"/>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2027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9"/>
          <w:p>
            <w:pPr>
              <w:spacing w:after="20"/>
              <w:ind w:left="20"/>
              <w:jc w:val="both"/>
            </w:pPr>
            <w:r>
              <w:rPr>
                <w:rFonts w:ascii="Times New Roman"/>
                <w:b w:val="false"/>
                <w:i w:val="false"/>
                <w:color w:val="000000"/>
                <w:sz w:val="20"/>
              </w:rPr>
              <w:t>
Сумма,</w:t>
            </w:r>
          </w:p>
          <w:bookmarkEnd w:id="2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0"/>
          <w:p>
            <w:pPr>
              <w:spacing w:after="20"/>
              <w:ind w:left="20"/>
              <w:jc w:val="both"/>
            </w:pPr>
            <w:r>
              <w:rPr>
                <w:rFonts w:ascii="Times New Roman"/>
                <w:b w:val="false"/>
                <w:i w:val="false"/>
                <w:color w:val="000000"/>
                <w:sz w:val="20"/>
              </w:rPr>
              <w:t>
Сумма,</w:t>
            </w:r>
          </w:p>
          <w:bookmarkEnd w:id="3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1"/>
          <w:p>
            <w:pPr>
              <w:spacing w:after="20"/>
              <w:ind w:left="20"/>
              <w:jc w:val="both"/>
            </w:pPr>
            <w:r>
              <w:rPr>
                <w:rFonts w:ascii="Times New Roman"/>
                <w:b w:val="false"/>
                <w:i w:val="false"/>
                <w:color w:val="000000"/>
                <w:sz w:val="20"/>
              </w:rPr>
              <w:t>
Сумма,</w:t>
            </w:r>
          </w:p>
          <w:bookmarkEnd w:id="3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23-7</w:t>
            </w:r>
          </w:p>
        </w:tc>
      </w:tr>
    </w:tbl>
    <w:p>
      <w:pPr>
        <w:spacing w:after="0"/>
        <w:ind w:left="0"/>
        <w:jc w:val="left"/>
      </w:pPr>
      <w:r>
        <w:rPr>
          <w:rFonts w:ascii="Times New Roman"/>
          <w:b/>
          <w:i w:val="false"/>
          <w:color w:val="000000"/>
        </w:rPr>
        <w:t xml:space="preserve"> Расходы бюджета Возвышенского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