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6cbb" w14:textId="89a6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июня 2024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№ 10087),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единицу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нормативно-правовых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"19"июня 2024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(цельное, обезжиренное)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