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b1e23" w14:textId="c9b1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Павлодарского областного маслихата от 22 апреля 2021 года № 24/3 "Об утверждении Правил выпаса сельскохозяйственных животных на территории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21 октября 2024 года № 151/16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"Об утверждении Правил выпаса сельскохозяйственных животных на территории Павлодарской области" от 22 апреля 2021 года № 24/3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выпаса сельскохозяйственных животных на территории Павлодарской области, утвержденных указанным решением: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выпаса сельскохозяйственных животных на территории Павлодарской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пастбищах",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ответственном обращении с животными",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апреля 2020 года № 145 "Об утверждении Типовых правил выпаса сельскохозяйственных животных" (далее – Типовые правила) и определяют порядок выпаса сельскохозяйственных животных на территории Павлодарской области.";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пастбища – земельные участки, предоставляемые и используемые для круглогодичного или сезонного выпаса сельскохозяйственных животных. При выпасе сельскохозяйственных животных на пастбищах допускается сенокошение в целях заготовки кормов в случаях, когда продуктивность пастбищ превышает потребность в кормах выпасаемых сельскохозяйственных животных при соблюдении предельно допустимых норм нагрузки на общую площадь пастбищ;";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6-1)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общественные пастбища – пастбища, расположенные на прилегающей территории населенных пунктов и находящиеся в государственной собственности, предназначенные для удовлетворения нужд местного населения по выпасу маточного поголовья сельскохозяйственных животных личного подворья;";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"6) прогон (перегон) до места выпаса и обратно, выпас, а также перемещение сельскохозяйственных животных без сопровождения владельцев сельскохозяйственных животных либо лиц, ими уполномоченных.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99 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выпас сельскохозяйственных животных без сопровождения владельцев сельскохозяйственных животных либо лиц, ими уполномоченных, на пастбищах, входящих в государственный лесной фонд, осуществляется в исключительных случаях в отдаленных, труднодоступных и малонаселенных районах. Перечень таких районов утверждается местным представительным органом области по представлению местного исполнительного органа области;";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9)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"9) водопой сельскохозяйственных животных в общественных местах купания, прудах, фонтанах, водоемах и водозаборах общего 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водопоя сельскохозяйственных животных допускается использование водных объектов вне зоны санитарной охраны при наличии водопойных площадок и других устройств, предотвращающих загрязнение и засорение водных объектов в порядке общего водопользования согласно Водному кодексу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выпаса сельскохозяйственных животных на участках государственного лесного фонда определяется в соответствии с Правилами сенокошения и пастьбы скота на участках государственного лесного фонда,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 октября 2015 года № 18–02/909 (зарегистрирован в Реестре государственной регистрации нормативных правовых актов № 12259).";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Сельскохозяйственные животные, передвигающиеся без сопровождающих лиц, считаются безнадзорными и подлежат загону в места для временного содержания до выявления владельца.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содержания, возврата задержанных безнадзорных сельскохозяйственных животных владельцам, а также ответственность владельцев определяется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246 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пункты 12,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"12. Пастбища, в том числе общественные пастбища, указанные в подпункте 2) 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(далее – Закон о пастбищах), не предоставляются в частную собственность и землепользование и используются только для нужд населения для выпаса сельскохозяйственных животных личного подворья.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Отгонные пастбища, за исключением пастбищ, указанных в пункте 4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15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пастбищах, предоставляются физическим и (или) юридическим лицам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43-1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(далее – Земельный кодекс).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Доступ к обводнительным сооружениям, состоящим на балансе государственных юридических лиц и расположенным на пастбищах, предназначенных для нужд населения по выпасу сельскохозяйственных животных личного подворья, в том числе общественных пастбищах, предоставляется на безвозмездной основе.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удовлетворения нужд населения по выпасу сельскохозяйственных животных личного подворья осуществляется резервирование пастбищ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49-2 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резервирования пастбищ является План по управлению пастбищами и их использованию (далее – План).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План является нормативным правовым актом, утверждаемым местным представительным органом района, города областного значения на пять лет.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План разрабатывается местным исполнительным органом района (кроме районов в городах), города областного значения совместно с акимами города районного значения, поселка, села, сельского округа и органами местного самоуправления на основании типового плана по управлению пастбищами и их использованию, утверждаемого уполномоченным органом в области управления и использования пастбищ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пастбищах.";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16 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пункты 17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 Пастбища, расположенные на территории, непосредственно прилегающей к границам (чертам) населенных пунктов, находящиеся в государственной собственности, используются для удовлетворения нужд населения для выпаса сельскохозяйственных животных личного подворья.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Поголовье сельскохозяйственных животных физических и (или) юридических лиц, не обеспеченных пастбищами в пределах границ (черты) населенного пункта, перемещается на другие участки пастбищ, в том числе на отгонные пастбища, согласно Плану.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пастбищ, предназначенных для выпаса сельскохозяйственных животных личного подворья, в том числе отгонных пастбищ, осуществляется в соответствии с Планом. Вынесения отдельного решения акимов города районного значения, поселка, села, сельского округа и местного исполнительного органа района, города областного значения о предоставлении пастбищ не требуется.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Выпас на пастбищах, указанных в части первой пункта 17 настоящих Правил, других сельскохозяйственных животных допускается только при соблюдении предельно допустимых норм нагрузки на общую площадь пастбищ,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превышении предельно допустимых норм нагрузки на общую площадь пастбищ в целях увеличения площадей пастбищ, предназначенных для выпаса сельскохозяйственных животных личного подворья, может осуществляться принудительное отчуждение для государственных нужд ранее предоставленных пастбищ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86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и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20 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пункты 25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Для перегона сельскохозяйственных животных проектируются скотопрогонные трассы (далее – скотопрогоны) временного (сезонного) пользования и долгосрочного пользования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со статьями 70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Скотопрогоны определяются местным исполнительным органом районов (городов) и областей по согласованию с главными государственными ветеринарно-санитарными инспекторами соответствующих административно-территориальных единиц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31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реализацию Плана и представляют ежегодный отчет о ходе его реализации органу местного самоуправления (сходу местного сообщества);". 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