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6c6a" w14:textId="7b86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Чайковское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Чайковское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149 922,2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2 659,0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147 263,2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150 468,7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села Чайковское на 2025 год, предусмотрен в сумме 24 020,0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села Чайковское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Чайковское на 2025 год предусмотрены целевые текущие трансферты из областного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 улиц села Чайковское;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средний ремонт автомобильных дорог улиц Октябрьская - 0,9 км, 40-лет Победы - 0,767 км, Клубная - 0,5 км, 20-лет Целины - 0,29 км, Калинина - 0,36 км села Чайковское Житикаринского района Костанайской области;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благоустройству территории села Чайковское Житикаринского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села Чайковское на 2025 год предусмотрены целевые текущие трансферты из районного бюджета, в том числе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села Чайковское;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и сопровождение программного продукта "Парус-Каз.Бюджет" (Бюджетное планирование);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ремонт автомобильных дорог улиц Октябрьская - 0,9 км, 40-лет Победы - 0,767 км, Клубная - 0,5 км, 20-лет Целины - 0,29 км, Калинина - 0,36 км села Чайковское Житикаринского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текущий ремонт крыши здания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села Чайковское.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перечень бюджетных программ на очередной финансовый год в бюджете села Чайковское, не подлежащих секвестру не установлен.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