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c0f5a" w14:textId="8cc0f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управлению коммунальными отходами по Житикаринскому району на 2024-2030 годы</w:t>
      </w:r>
    </w:p>
    <w:p>
      <w:pPr>
        <w:spacing w:after="0"/>
        <w:ind w:left="0"/>
        <w:jc w:val="both"/>
      </w:pPr>
      <w:r>
        <w:rPr>
          <w:rFonts w:ascii="Times New Roman"/>
          <w:b w:val="false"/>
          <w:i w:val="false"/>
          <w:color w:val="000000"/>
          <w:sz w:val="28"/>
        </w:rPr>
        <w:t>Решение маслихата Житикаринского района Костанайской области от 29 февраля 2024 года № 128</w:t>
      </w:r>
    </w:p>
    <w:p>
      <w:pPr>
        <w:spacing w:after="0"/>
        <w:ind w:left="0"/>
        <w:jc w:val="both"/>
      </w:pPr>
      <w:bookmarkStart w:name="z4" w:id="0"/>
      <w:r>
        <w:rPr>
          <w:rFonts w:ascii="Times New Roman"/>
          <w:b w:val="false"/>
          <w:i w:val="false"/>
          <w:color w:val="000000"/>
          <w:sz w:val="28"/>
        </w:rPr>
        <w:t xml:space="preserve">
      В соответствии с подпунктом 1) пункта 3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Житикаринский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программу по управлению коммунальными отходами по Житикаринскому району на 2024-2030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Житикаринского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Уразалинов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февраля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128</w:t>
            </w:r>
          </w:p>
        </w:tc>
      </w:tr>
    </w:tbl>
    <w:bookmarkStart w:name="z12" w:id="3"/>
    <w:p>
      <w:pPr>
        <w:spacing w:after="0"/>
        <w:ind w:left="0"/>
        <w:jc w:val="left"/>
      </w:pPr>
      <w:r>
        <w:rPr>
          <w:rFonts w:ascii="Times New Roman"/>
          <w:b/>
          <w:i w:val="false"/>
          <w:color w:val="000000"/>
        </w:rPr>
        <w:t xml:space="preserve"> ПРОГРАММА по управлению коммунальными отходами по Житикаринскому району на 2024-2030 годы</w:t>
      </w:r>
    </w:p>
    <w:bookmarkEnd w:id="3"/>
    <w:bookmarkStart w:name="z13" w:id="4"/>
    <w:p>
      <w:pPr>
        <w:spacing w:after="0"/>
        <w:ind w:left="0"/>
        <w:jc w:val="left"/>
      </w:pPr>
      <w:r>
        <w:rPr>
          <w:rFonts w:ascii="Times New Roman"/>
          <w:b/>
          <w:i w:val="false"/>
          <w:color w:val="000000"/>
        </w:rPr>
        <w:t xml:space="preserve"> ОГЛАВЛЕНИЕ</w:t>
      </w:r>
    </w:p>
    <w:bookmarkEnd w:id="4"/>
    <w:bookmarkStart w:name="z14" w:id="5"/>
    <w:p>
      <w:pPr>
        <w:spacing w:after="0"/>
        <w:ind w:left="0"/>
        <w:jc w:val="both"/>
      </w:pPr>
      <w:r>
        <w:rPr>
          <w:rFonts w:ascii="Times New Roman"/>
          <w:b w:val="false"/>
          <w:i w:val="false"/>
          <w:color w:val="000000"/>
          <w:sz w:val="28"/>
        </w:rPr>
        <w:t>
      ВВЕДЕНИЕ</w:t>
      </w:r>
    </w:p>
    <w:bookmarkEnd w:id="5"/>
    <w:bookmarkStart w:name="z15" w:id="6"/>
    <w:p>
      <w:pPr>
        <w:spacing w:after="0"/>
        <w:ind w:left="0"/>
        <w:jc w:val="both"/>
      </w:pPr>
      <w:r>
        <w:rPr>
          <w:rFonts w:ascii="Times New Roman"/>
          <w:b w:val="false"/>
          <w:i w:val="false"/>
          <w:color w:val="000000"/>
          <w:sz w:val="28"/>
        </w:rPr>
        <w:t>
      1. АНАЛИЗ ТЕКУЩЕГО СОСТОЯНИЯ УПРАВЛЕНИЯ КОММУНАЛЬНЫМИ ОТХОДАМИ.</w:t>
      </w:r>
    </w:p>
    <w:bookmarkEnd w:id="6"/>
    <w:bookmarkStart w:name="z16" w:id="7"/>
    <w:p>
      <w:pPr>
        <w:spacing w:after="0"/>
        <w:ind w:left="0"/>
        <w:jc w:val="both"/>
      </w:pPr>
      <w:r>
        <w:rPr>
          <w:rFonts w:ascii="Times New Roman"/>
          <w:b w:val="false"/>
          <w:i w:val="false"/>
          <w:color w:val="000000"/>
          <w:sz w:val="28"/>
        </w:rPr>
        <w:t>
      1.1. Общие сведения о системе управления коммунальными отходами в Республике Казахстан.</w:t>
      </w:r>
    </w:p>
    <w:bookmarkEnd w:id="7"/>
    <w:bookmarkStart w:name="z17" w:id="8"/>
    <w:p>
      <w:pPr>
        <w:spacing w:after="0"/>
        <w:ind w:left="0"/>
        <w:jc w:val="both"/>
      </w:pPr>
      <w:r>
        <w:rPr>
          <w:rFonts w:ascii="Times New Roman"/>
          <w:b w:val="false"/>
          <w:i w:val="false"/>
          <w:color w:val="000000"/>
          <w:sz w:val="28"/>
        </w:rPr>
        <w:t>
      1.2. Оценка текущего состояния управления коммунальными отходами в Житикаринском районе.</w:t>
      </w:r>
    </w:p>
    <w:bookmarkEnd w:id="8"/>
    <w:bookmarkStart w:name="z18" w:id="9"/>
    <w:p>
      <w:pPr>
        <w:spacing w:after="0"/>
        <w:ind w:left="0"/>
        <w:jc w:val="both"/>
      </w:pPr>
      <w:r>
        <w:rPr>
          <w:rFonts w:ascii="Times New Roman"/>
          <w:b w:val="false"/>
          <w:i w:val="false"/>
          <w:color w:val="000000"/>
          <w:sz w:val="28"/>
        </w:rPr>
        <w:t>
      1.3. Сведения о классификации отходов.</w:t>
      </w:r>
    </w:p>
    <w:bookmarkEnd w:id="9"/>
    <w:bookmarkStart w:name="z19" w:id="10"/>
    <w:p>
      <w:pPr>
        <w:spacing w:after="0"/>
        <w:ind w:left="0"/>
        <w:jc w:val="both"/>
      </w:pPr>
      <w:r>
        <w:rPr>
          <w:rFonts w:ascii="Times New Roman"/>
          <w:b w:val="false"/>
          <w:i w:val="false"/>
          <w:color w:val="000000"/>
          <w:sz w:val="28"/>
        </w:rPr>
        <w:t>
      1.4. Основные проблемы в сфере управления коммунальными отходами.</w:t>
      </w:r>
    </w:p>
    <w:bookmarkEnd w:id="10"/>
    <w:bookmarkStart w:name="z20" w:id="11"/>
    <w:p>
      <w:pPr>
        <w:spacing w:after="0"/>
        <w:ind w:left="0"/>
        <w:jc w:val="both"/>
      </w:pPr>
      <w:r>
        <w:rPr>
          <w:rFonts w:ascii="Times New Roman"/>
          <w:b w:val="false"/>
          <w:i w:val="false"/>
          <w:color w:val="000000"/>
          <w:sz w:val="28"/>
        </w:rPr>
        <w:t>
      2. ЦЕЛЬ, ЗАДАЧИ И ЦЕЛЕВЫЕ ПОКАЗАТЕЛИ.</w:t>
      </w:r>
    </w:p>
    <w:bookmarkEnd w:id="11"/>
    <w:bookmarkStart w:name="z21" w:id="12"/>
    <w:p>
      <w:pPr>
        <w:spacing w:after="0"/>
        <w:ind w:left="0"/>
        <w:jc w:val="both"/>
      </w:pPr>
      <w:r>
        <w:rPr>
          <w:rFonts w:ascii="Times New Roman"/>
          <w:b w:val="false"/>
          <w:i w:val="false"/>
          <w:color w:val="000000"/>
          <w:sz w:val="28"/>
        </w:rPr>
        <w:t>
      2.1. Цель программы</w:t>
      </w:r>
    </w:p>
    <w:bookmarkEnd w:id="12"/>
    <w:bookmarkStart w:name="z22" w:id="13"/>
    <w:p>
      <w:pPr>
        <w:spacing w:after="0"/>
        <w:ind w:left="0"/>
        <w:jc w:val="both"/>
      </w:pPr>
      <w:r>
        <w:rPr>
          <w:rFonts w:ascii="Times New Roman"/>
          <w:b w:val="false"/>
          <w:i w:val="false"/>
          <w:color w:val="000000"/>
          <w:sz w:val="28"/>
        </w:rPr>
        <w:t>
      2.2. Задачи программы</w:t>
      </w:r>
    </w:p>
    <w:bookmarkEnd w:id="13"/>
    <w:bookmarkStart w:name="z23" w:id="14"/>
    <w:p>
      <w:pPr>
        <w:spacing w:after="0"/>
        <w:ind w:left="0"/>
        <w:jc w:val="both"/>
      </w:pPr>
      <w:r>
        <w:rPr>
          <w:rFonts w:ascii="Times New Roman"/>
          <w:b w:val="false"/>
          <w:i w:val="false"/>
          <w:color w:val="000000"/>
          <w:sz w:val="28"/>
        </w:rPr>
        <w:t>
      2.3. Целевые показатели программы</w:t>
      </w:r>
    </w:p>
    <w:bookmarkEnd w:id="14"/>
    <w:bookmarkStart w:name="z24" w:id="15"/>
    <w:p>
      <w:pPr>
        <w:spacing w:after="0"/>
        <w:ind w:left="0"/>
        <w:jc w:val="both"/>
      </w:pPr>
      <w:r>
        <w:rPr>
          <w:rFonts w:ascii="Times New Roman"/>
          <w:b w:val="false"/>
          <w:i w:val="false"/>
          <w:color w:val="000000"/>
          <w:sz w:val="28"/>
        </w:rPr>
        <w:t>
      3. ОСНОВНЫЕ НАПРАВЛЕНИЯ, ПУТИ ДОСТИЖЕНИЯ ПОСТАВЛЕННОЙ ЦЕЛИ.</w:t>
      </w:r>
    </w:p>
    <w:bookmarkEnd w:id="15"/>
    <w:bookmarkStart w:name="z25" w:id="16"/>
    <w:p>
      <w:pPr>
        <w:spacing w:after="0"/>
        <w:ind w:left="0"/>
        <w:jc w:val="both"/>
      </w:pPr>
      <w:r>
        <w:rPr>
          <w:rFonts w:ascii="Times New Roman"/>
          <w:b w:val="false"/>
          <w:i w:val="false"/>
          <w:color w:val="000000"/>
          <w:sz w:val="28"/>
        </w:rPr>
        <w:t>
      3.1. Основные направления, пути достижения поставленной цели и соответствующие меры</w:t>
      </w:r>
    </w:p>
    <w:bookmarkEnd w:id="16"/>
    <w:bookmarkStart w:name="z26" w:id="17"/>
    <w:p>
      <w:pPr>
        <w:spacing w:after="0"/>
        <w:ind w:left="0"/>
        <w:jc w:val="both"/>
      </w:pPr>
      <w:r>
        <w:rPr>
          <w:rFonts w:ascii="Times New Roman"/>
          <w:b w:val="false"/>
          <w:i w:val="false"/>
          <w:color w:val="000000"/>
          <w:sz w:val="28"/>
        </w:rPr>
        <w:t>
      3.2. Пути достижения поставленной цели и соответствующие меры</w:t>
      </w:r>
    </w:p>
    <w:bookmarkEnd w:id="17"/>
    <w:bookmarkStart w:name="z27" w:id="18"/>
    <w:p>
      <w:pPr>
        <w:spacing w:after="0"/>
        <w:ind w:left="0"/>
        <w:jc w:val="both"/>
      </w:pPr>
      <w:r>
        <w:rPr>
          <w:rFonts w:ascii="Times New Roman"/>
          <w:b w:val="false"/>
          <w:i w:val="false"/>
          <w:color w:val="000000"/>
          <w:sz w:val="28"/>
        </w:rPr>
        <w:t>
      4. НЕОБХОДИМЫЕ РЕСУРСЫ.</w:t>
      </w:r>
    </w:p>
    <w:bookmarkEnd w:id="18"/>
    <w:bookmarkStart w:name="z28" w:id="19"/>
    <w:p>
      <w:pPr>
        <w:spacing w:after="0"/>
        <w:ind w:left="0"/>
        <w:jc w:val="both"/>
      </w:pPr>
      <w:r>
        <w:rPr>
          <w:rFonts w:ascii="Times New Roman"/>
          <w:b w:val="false"/>
          <w:i w:val="false"/>
          <w:color w:val="000000"/>
          <w:sz w:val="28"/>
        </w:rPr>
        <w:t>
      5. ПЛАН МЕРОПРИЯТИЙ ПО РЕАЛИЗАЦИИ ПРОГРАММЫ.</w:t>
      </w:r>
    </w:p>
    <w:bookmarkEnd w:id="19"/>
    <w:bookmarkStart w:name="z29" w:id="20"/>
    <w:p>
      <w:pPr>
        <w:spacing w:after="0"/>
        <w:ind w:left="0"/>
        <w:jc w:val="left"/>
      </w:pPr>
      <w:r>
        <w:rPr>
          <w:rFonts w:ascii="Times New Roman"/>
          <w:b/>
          <w:i w:val="false"/>
          <w:color w:val="000000"/>
        </w:rPr>
        <w:t xml:space="preserve"> ВВЕДЕНИЕ</w:t>
      </w:r>
    </w:p>
    <w:bookmarkEnd w:id="20"/>
    <w:bookmarkStart w:name="z30" w:id="21"/>
    <w:p>
      <w:pPr>
        <w:spacing w:after="0"/>
        <w:ind w:left="0"/>
        <w:jc w:val="left"/>
      </w:pPr>
      <w:r>
        <w:rPr>
          <w:rFonts w:ascii="Times New Roman"/>
          <w:b/>
          <w:i w:val="false"/>
          <w:color w:val="000000"/>
        </w:rPr>
        <w:t xml:space="preserve"> Географическое положение и климат</w:t>
      </w:r>
    </w:p>
    <w:bookmarkEnd w:id="21"/>
    <w:bookmarkStart w:name="z31" w:id="22"/>
    <w:p>
      <w:pPr>
        <w:spacing w:after="0"/>
        <w:ind w:left="0"/>
        <w:jc w:val="both"/>
      </w:pPr>
      <w:r>
        <w:rPr>
          <w:rFonts w:ascii="Times New Roman"/>
          <w:b w:val="false"/>
          <w:i w:val="false"/>
          <w:color w:val="000000"/>
          <w:sz w:val="28"/>
        </w:rPr>
        <w:t>
      Житикаринский район представляет собой административно-территориальную единицу в Костанайской области, находящуюся в 217 километрах к юго-западу от областного центра, города Костанай. Административным центром района является город Житикара Житикаринского района, расположенного на юго-западе Костанайской области. На севере Житикаринский район граничит с Денисовским районом, на востоке с Камыстинским районом. Граница на юге протекает между Адамовским и Светлинским районами Оренбургской области Российской Федерации, а на западе с Брединским районом Челябинской области России.</w:t>
      </w:r>
    </w:p>
    <w:bookmarkEnd w:id="22"/>
    <w:bookmarkStart w:name="z32" w:id="23"/>
    <w:p>
      <w:pPr>
        <w:spacing w:after="0"/>
        <w:ind w:left="0"/>
        <w:jc w:val="both"/>
      </w:pPr>
      <w:r>
        <w:rPr>
          <w:rFonts w:ascii="Times New Roman"/>
          <w:b w:val="false"/>
          <w:i w:val="false"/>
          <w:color w:val="000000"/>
          <w:sz w:val="28"/>
        </w:rPr>
        <w:t>
      Общая площадь района составляет 7 311,99 квадратных километров.</w:t>
      </w:r>
    </w:p>
    <w:bookmarkEnd w:id="23"/>
    <w:bookmarkStart w:name="z33" w:id="24"/>
    <w:p>
      <w:pPr>
        <w:spacing w:after="0"/>
        <w:ind w:left="0"/>
        <w:jc w:val="both"/>
      </w:pPr>
      <w:r>
        <w:rPr>
          <w:rFonts w:ascii="Times New Roman"/>
          <w:b w:val="false"/>
          <w:i w:val="false"/>
          <w:color w:val="000000"/>
          <w:sz w:val="28"/>
        </w:rPr>
        <w:t>
      В Житикаринском районе берет начало река Тобол длиной около 120 километров и ее притоки Желкуар, Шортанды, Берсуат и Синташты. Кроме того, на территории села Хозрет на незначительном расстоянии протекает река Карасу, впадающая в реку Берсуат. Имеются озера Улкенкопа, Шептыколь, Карамола, Эркибай, Шагыркопа, Талыбайкопа, Мюктыколь, Копакуль, Кундыбай, Таринкуль, плотина Двуреченского водохранилища у села Шевченковка, Большевистского сельского округа и другие более мелкие реки.</w:t>
      </w:r>
    </w:p>
    <w:bookmarkEnd w:id="24"/>
    <w:bookmarkStart w:name="z34" w:id="25"/>
    <w:p>
      <w:pPr>
        <w:spacing w:after="0"/>
        <w:ind w:left="0"/>
        <w:jc w:val="both"/>
      </w:pPr>
      <w:r>
        <w:rPr>
          <w:rFonts w:ascii="Times New Roman"/>
          <w:b w:val="false"/>
          <w:i w:val="false"/>
          <w:color w:val="000000"/>
          <w:sz w:val="28"/>
        </w:rPr>
        <w:t>
      Климат Житикаринского района резко континентальный, в зимние месяцы минимальная температура воздуха нередко падает до –30 –35°С, в летнее время максимум температур +35 +40°С. Самый холодный месяц январь, самый теплый месяц июль. Зима суровая, лето жаркое, засушливое. Для климата характерна интенсивная ветровая деятельность. Снежный покров сохраняется в течение 5 (пяти) месяцев, ввиду маломощности снежного покрова почва промерзает. Часто наблюдаются сильные ветры, наибольшие скорости приходятся на зимние месяцы, а минимальные на летние.</w:t>
      </w:r>
    </w:p>
    <w:bookmarkEnd w:id="25"/>
    <w:bookmarkStart w:name="z35" w:id="26"/>
    <w:p>
      <w:pPr>
        <w:spacing w:after="0"/>
        <w:ind w:left="0"/>
        <w:jc w:val="both"/>
      </w:pPr>
      <w:r>
        <w:rPr>
          <w:rFonts w:ascii="Times New Roman"/>
          <w:b w:val="false"/>
          <w:i w:val="false"/>
          <w:color w:val="000000"/>
          <w:sz w:val="28"/>
        </w:rPr>
        <w:t>
      Метеорологические характеристики и коэффициенты, определяющие условия рассеивания загрязняющих веществ в атмосфере приняты согласно Справке № 28-03-1-03/217 от 11 марта 2022 года, выданной Филиалом Республиканского государственного предприятия на праве хозяйственного ведения "Казгидромет" Министерства энергетики РК по Костанайской области, представлены в таблице 2.</w:t>
      </w:r>
    </w:p>
    <w:bookmarkEnd w:id="26"/>
    <w:bookmarkStart w:name="z36" w:id="27"/>
    <w:p>
      <w:pPr>
        <w:spacing w:after="0"/>
        <w:ind w:left="0"/>
        <w:jc w:val="both"/>
      </w:pPr>
      <w:r>
        <w:rPr>
          <w:rFonts w:ascii="Times New Roman"/>
          <w:b w:val="false"/>
          <w:i w:val="false"/>
          <w:color w:val="000000"/>
          <w:sz w:val="28"/>
        </w:rPr>
        <w:t>
      Таблица 1 Метеорологические характеристики</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характеристик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зависящий от стратификации атмосферы,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зависящий от рельефа местности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месячная максимальная температура воздуха наиболее жаркого месяца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месячная максимальная температура воздуха наиболее холодного месяца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роза ветров,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скорость ветра, м/с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ветра (по средним многолетним данным) повторяемость превышения составляет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дней со снежным покровом, дней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осадков в виде дождя, час/год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37" w:id="28"/>
    <w:p>
      <w:pPr>
        <w:spacing w:after="0"/>
        <w:ind w:left="0"/>
        <w:jc w:val="both"/>
      </w:pPr>
      <w:r>
        <w:rPr>
          <w:rFonts w:ascii="Times New Roman"/>
          <w:b w:val="false"/>
          <w:i w:val="false"/>
          <w:color w:val="000000"/>
          <w:sz w:val="28"/>
        </w:rPr>
        <w:t>
      Среднегодовые скорости ветра составляют 4,5–5,1 м/с. В холодное время года область находится под влиянием мощного западного отрога сибирского антициклона. В связи с этим, зимой преобладает антициклонный режим погоды с устойчивыми морозами. Весной учащаются вторжения теплых воздушных масс, в летний период территория находится под влиянием теплого континентального воздуха, трансформирующегося из циклона арктических масс, что играет большую роль в образовании осадков. Ночные заморозки прекращаются в конце апреля, а осенью начинаются во второй половине сентября и в начале октября. В холодный период наблюдаются туманы, в среднем 30 дней в году. Средняя продолжительность туманов составляет 4 часа в сутки. Помимо больших колебаний амплитуд сезонных температур, характерно значительное изменение суточных температур. Другой особенностью климата является небольшое количество атмосферных осадков, обилие тепла и света в период вегетации сельскохозяйственных культур, несоответствие между которыми обуславливает засушливость климата. Количество мало интенсивных осадков из года в год подвергается значительным колебаниям. Увлажнение недостаточное и неустойчивое, часты засухи, усугубляемые сильными ветрами и суховеями. Летние осадки, как правило, кратковременны и мало увлажняют почву, чаще носят ливневый характер, обложные дожди бывают редко. Средняя многолетняя сумма осадков составляет 350–385мм, из них большая часть осадков выпадает в теплый период года. В теплое время наблюдаются пыльные бури, в среднем 2 – 6 дней в месяц. Средняя скорость ветра колеблется от 2 до 11 м/с. Ветры преобладающих направлений имеют более высокие скорости. Режим ветра носит материковый характер. Преобладающими являются ветры северо-западного и западного направлений в летний период и юго-западного направления в зимний период.</w:t>
      </w:r>
    </w:p>
    <w:bookmarkEnd w:id="28"/>
    <w:bookmarkStart w:name="z38" w:id="29"/>
    <w:p>
      <w:pPr>
        <w:spacing w:after="0"/>
        <w:ind w:left="0"/>
        <w:jc w:val="left"/>
      </w:pPr>
      <w:r>
        <w:rPr>
          <w:rFonts w:ascii="Times New Roman"/>
          <w:b/>
          <w:i w:val="false"/>
          <w:color w:val="000000"/>
        </w:rPr>
        <w:t xml:space="preserve"> Экономика Житикаринского района</w:t>
      </w:r>
    </w:p>
    <w:bookmarkEnd w:id="29"/>
    <w:bookmarkStart w:name="z39" w:id="30"/>
    <w:p>
      <w:pPr>
        <w:spacing w:after="0"/>
        <w:ind w:left="0"/>
        <w:jc w:val="both"/>
      </w:pPr>
      <w:r>
        <w:rPr>
          <w:rFonts w:ascii="Times New Roman"/>
          <w:b w:val="false"/>
          <w:i w:val="false"/>
          <w:color w:val="000000"/>
          <w:sz w:val="28"/>
        </w:rPr>
        <w:t>
      В Житикаринском районе осуществляется добыча золота, а также расположено крупнейшее в Казахстане месторождение хризотила - асбеста. Первые проявления добычи золота на территории Житикаринского района обратимы к 1910-1911 годам, когда были обнаружены золоторудные месторождения. Начальные работы по их разработке проводились старательскими артелями, а поселок в то время известен был под наименованием "Веселый аул". В 1914 году было учреждено товарищество "Джетыгаринских золотых приисков", выступившее основой для создания треста "Джетыгарзолото". Значимым предприятием того времени являлся ремонтно-механический завод комбината "Джетыгарзолото". В конце 1950 годов деятельность по добыче золота в данном районе была приостановлена, и лишь в 2001 году началось строительство Комаровского рудника с проектной мощностью 500 тысяч тонн золотоносной руды в год. Работы по реализации проекта ведет товарищество с ограниченной ответственностью "Комаровское горное предприятие", а первый слиток Комаровского золота весом 6 киллограмм был произведен в 2003 году.</w:t>
      </w:r>
    </w:p>
    <w:bookmarkEnd w:id="30"/>
    <w:bookmarkStart w:name="z40" w:id="31"/>
    <w:p>
      <w:pPr>
        <w:spacing w:after="0"/>
        <w:ind w:left="0"/>
        <w:jc w:val="both"/>
      </w:pPr>
      <w:r>
        <w:rPr>
          <w:rFonts w:ascii="Times New Roman"/>
          <w:b w:val="false"/>
          <w:i w:val="false"/>
          <w:color w:val="000000"/>
          <w:sz w:val="28"/>
        </w:rPr>
        <w:t>
      В послевоенный период вблизи города были открыты залежи хризотила-асбеста. По сей день крупнейшее промышленное предприятие района акционерное общество "Костанайские минералы" осуществляет добычу и разработку асбеста. Предприятие является одним из стабильно работающих крупнейших предприятий горнорудной промышленности Казахстана, хорошо известным и отлично зарекомендовавшим себя на мировом рынке.</w:t>
      </w:r>
    </w:p>
    <w:bookmarkEnd w:id="31"/>
    <w:bookmarkStart w:name="z41" w:id="32"/>
    <w:p>
      <w:pPr>
        <w:spacing w:after="0"/>
        <w:ind w:left="0"/>
        <w:jc w:val="both"/>
      </w:pPr>
      <w:r>
        <w:rPr>
          <w:rFonts w:ascii="Times New Roman"/>
          <w:b w:val="false"/>
          <w:i w:val="false"/>
          <w:color w:val="000000"/>
          <w:sz w:val="28"/>
        </w:rPr>
        <w:t>
      Недра района богаты различными полезными ископаемыми. Мечетная геологоразведочная экспедиция установила, что запасы 16,5 миллионов тонн асбеста на Джетыгаринском месторождении имеют промышленное значение, что послужило началом для строительства Джетыгаринского асбестового комбината и нового города, развитие и становление которых неразрывно связано друг с другом. Строительство комбината позволило городу решить ряд проблем, улучшилось медицинское обслуживание, открылись библиотеки, была установлена телефонная связь с другими городами страны, строились дороги. Начиная с января 1963 года, город Джетыгара стал самостоятельной административно-территориальной единицей в Кустанайской области.</w:t>
      </w:r>
    </w:p>
    <w:bookmarkEnd w:id="32"/>
    <w:bookmarkStart w:name="z42" w:id="33"/>
    <w:p>
      <w:pPr>
        <w:spacing w:after="0"/>
        <w:ind w:left="0"/>
        <w:jc w:val="both"/>
      </w:pPr>
      <w:r>
        <w:rPr>
          <w:rFonts w:ascii="Times New Roman"/>
          <w:b w:val="false"/>
          <w:i w:val="false"/>
          <w:color w:val="000000"/>
          <w:sz w:val="28"/>
        </w:rPr>
        <w:t>
      Транспортно-экономические связи города Житикара и Житикаринского района осуществляются железнодорожным и автомобильным транспортом. Транспортное развитие и географическое положение города позволяет обеспечить железнодорожные связи внутри Казахстана, между Урало-Сибирским регионом Российской Федерации, Европой, Китаем, государствами Центральной и Средней Азии. Основной внешней транспортной автомобильной артерией Житикаринского района является автомобильная дорога республиканского значения Житикара - Денисовка - Рудный - Костанай.</w:t>
      </w:r>
    </w:p>
    <w:bookmarkEnd w:id="33"/>
    <w:bookmarkStart w:name="z43" w:id="34"/>
    <w:p>
      <w:pPr>
        <w:spacing w:after="0"/>
        <w:ind w:left="0"/>
        <w:jc w:val="both"/>
      </w:pPr>
      <w:r>
        <w:rPr>
          <w:rFonts w:ascii="Times New Roman"/>
          <w:b w:val="false"/>
          <w:i w:val="false"/>
          <w:color w:val="000000"/>
          <w:sz w:val="28"/>
        </w:rPr>
        <w:t>
      Таблица 2 Состав района с указанием города, сельских округов и сҰл</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округ/город районного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Большевистский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Тургеновка, село Шевченковка, село Кусакан, село Хозрет, село Тасыбай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Житикара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Житикара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Забеловка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Забеловка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Милютинка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Милютинка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Муктикольский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Муктиколь, село Волгоградское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Пригородное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Пригородное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Приречное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Приречное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Степное, село Аккарга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Тохтаровский сельский округ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Тохтарово, село Львовка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Чайковское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Чайковское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Ырсай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Ырсай</w:t>
            </w:r>
          </w:p>
        </w:tc>
      </w:tr>
    </w:tbl>
    <w:bookmarkStart w:name="z44" w:id="35"/>
    <w:p>
      <w:pPr>
        <w:spacing w:after="0"/>
        <w:ind w:left="0"/>
        <w:jc w:val="both"/>
      </w:pPr>
      <w:r>
        <w:rPr>
          <w:rFonts w:ascii="Times New Roman"/>
          <w:b w:val="false"/>
          <w:i w:val="false"/>
          <w:color w:val="000000"/>
          <w:sz w:val="28"/>
        </w:rPr>
        <w:t>
      Таблица 3 Численность населения Житикаринского района на 1 октября 2023 года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 1 января 2023 года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прирост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 1 октября 2023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расчетный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естественный прирост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миграции</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прироста,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численность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Житикаринский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Городское население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население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7 240</w:t>
            </w:r>
          </w:p>
        </w:tc>
      </w:tr>
    </w:tbl>
    <w:bookmarkStart w:name="z45" w:id="36"/>
    <w:p>
      <w:pPr>
        <w:spacing w:after="0"/>
        <w:ind w:left="0"/>
        <w:jc w:val="both"/>
      </w:pPr>
      <w:r>
        <w:rPr>
          <w:rFonts w:ascii="Times New Roman"/>
          <w:b w:val="false"/>
          <w:i w:val="false"/>
          <w:color w:val="000000"/>
          <w:sz w:val="28"/>
        </w:rPr>
        <w:t>
      На начало 2023 года общая численность населения Житикаринского района составляла 42 610 человек. За расчетный период произошел общий отрицательный прирост населения в размере 363 человека. Этот показатель включает в себя естественный прирост 56 человек и сальдо миграции 307 человек. Таким образом, к 1 октября 2023 года численность населения снизилась до 42 247 человек.</w:t>
      </w:r>
    </w:p>
    <w:bookmarkEnd w:id="36"/>
    <w:bookmarkStart w:name="z46" w:id="37"/>
    <w:p>
      <w:pPr>
        <w:spacing w:after="0"/>
        <w:ind w:left="0"/>
        <w:jc w:val="both"/>
      </w:pPr>
      <w:r>
        <w:rPr>
          <w:rFonts w:ascii="Times New Roman"/>
          <w:b w:val="false"/>
          <w:i w:val="false"/>
          <w:color w:val="000000"/>
          <w:sz w:val="28"/>
        </w:rPr>
        <w:t>
      Городское население на начало 2023 года составляет 35 299 человек. За расчетный период произошел отрицательный прирост в размере 221 человек, включающий в себя естественный прирост 35 человек и сальдо миграции 186 человек. На 1 октября 2023 года численность городского населения уменьшилась до 35 078 человек.</w:t>
      </w:r>
    </w:p>
    <w:bookmarkEnd w:id="37"/>
    <w:bookmarkStart w:name="z47" w:id="38"/>
    <w:p>
      <w:pPr>
        <w:spacing w:after="0"/>
        <w:ind w:left="0"/>
        <w:jc w:val="both"/>
      </w:pPr>
      <w:r>
        <w:rPr>
          <w:rFonts w:ascii="Times New Roman"/>
          <w:b w:val="false"/>
          <w:i w:val="false"/>
          <w:color w:val="000000"/>
          <w:sz w:val="28"/>
        </w:rPr>
        <w:t>
      Сельское население на начало 2023 года составляет 7 311 человек. За расчетный период произошел отрицательный прирост в размере 142 человека, включая естественный прирост 21 человек и сальдо миграции 121 человек. Таким образом, на 1 октября 2023 года численность сельского населения уменьшилась до 7 169 человек.</w:t>
      </w:r>
    </w:p>
    <w:bookmarkEnd w:id="38"/>
    <w:bookmarkStart w:name="z48" w:id="39"/>
    <w:p>
      <w:pPr>
        <w:spacing w:after="0"/>
        <w:ind w:left="0"/>
        <w:jc w:val="both"/>
      </w:pPr>
      <w:r>
        <w:rPr>
          <w:rFonts w:ascii="Times New Roman"/>
          <w:b w:val="false"/>
          <w:i w:val="false"/>
          <w:color w:val="000000"/>
          <w:sz w:val="28"/>
        </w:rPr>
        <w:t>
      Темп прироста населения за расчетный период составляет 0,85% для общего населения, 0,63% для городского населения и 1,94% для сельского населения. Средняя численность населения за расчетный период оценивается в 42 429 человек.</w:t>
      </w:r>
    </w:p>
    <w:bookmarkEnd w:id="39"/>
    <w:bookmarkStart w:name="z49" w:id="40"/>
    <w:p>
      <w:pPr>
        <w:spacing w:after="0"/>
        <w:ind w:left="0"/>
        <w:jc w:val="both"/>
      </w:pPr>
      <w:r>
        <w:rPr>
          <w:rFonts w:ascii="Times New Roman"/>
          <w:b w:val="false"/>
          <w:i w:val="false"/>
          <w:color w:val="000000"/>
          <w:sz w:val="28"/>
        </w:rPr>
        <w:t>
      По состоянию на 1 октября 2023 года в городе Житикара имеется полигон для твердых бытовых и промышленных отходов товарищества с ограниченной ответственности "Соцсервис", общая площадь полигона составляет 10,5 гектара, полигон расположен от города Житикара на расстоянии 5 километров. В среднем на полигоне происходит захоронение 67,7 тысяч кубометров отходов в год.</w:t>
      </w:r>
    </w:p>
    <w:bookmarkEnd w:id="40"/>
    <w:bookmarkStart w:name="z50" w:id="41"/>
    <w:p>
      <w:pPr>
        <w:spacing w:after="0"/>
        <w:ind w:left="0"/>
        <w:jc w:val="both"/>
      </w:pPr>
      <w:r>
        <w:rPr>
          <w:rFonts w:ascii="Times New Roman"/>
          <w:b w:val="false"/>
          <w:i w:val="false"/>
          <w:color w:val="000000"/>
          <w:sz w:val="28"/>
        </w:rPr>
        <w:t>
      Помимо этого, имеется полигон, принадлежащий товариществу с ограниченной ответственностью "Джетыгарахимчистка", на который осуществляется вывоз твердых бытовых отходов от населения города.</w:t>
      </w:r>
    </w:p>
    <w:bookmarkEnd w:id="41"/>
    <w:bookmarkStart w:name="z51" w:id="42"/>
    <w:p>
      <w:pPr>
        <w:spacing w:after="0"/>
        <w:ind w:left="0"/>
        <w:jc w:val="both"/>
      </w:pPr>
      <w:r>
        <w:rPr>
          <w:rFonts w:ascii="Times New Roman"/>
          <w:b w:val="false"/>
          <w:i w:val="false"/>
          <w:color w:val="000000"/>
          <w:sz w:val="28"/>
        </w:rPr>
        <w:t>
      Полигон ТОО "Соцсервис" играет ключевую роль в обеспечении эффективного управления отходами на территории города, влияя на экологическую устойчивость и общественное благосостояние. Полигон представляет собой важный элемент инфраструктуры города, специализированный для минимизации отрицательного воздействия отходов на окружающую среду и обеспечения их безопасной и эффективной обработки.</w:t>
      </w:r>
    </w:p>
    <w:bookmarkEnd w:id="42"/>
    <w:bookmarkStart w:name="z52" w:id="43"/>
    <w:p>
      <w:pPr>
        <w:spacing w:after="0"/>
        <w:ind w:left="0"/>
        <w:jc w:val="both"/>
      </w:pPr>
      <w:r>
        <w:rPr>
          <w:rFonts w:ascii="Times New Roman"/>
          <w:b w:val="false"/>
          <w:i w:val="false"/>
          <w:color w:val="000000"/>
          <w:sz w:val="28"/>
        </w:rPr>
        <w:t>
      На территории микрорайонов города установлены контейнеры для раздельного сбора ТБО.</w:t>
      </w:r>
    </w:p>
    <w:bookmarkEnd w:id="43"/>
    <w:bookmarkStart w:name="z53" w:id="44"/>
    <w:p>
      <w:pPr>
        <w:spacing w:after="0"/>
        <w:ind w:left="0"/>
        <w:jc w:val="left"/>
      </w:pPr>
      <w:r>
        <w:rPr>
          <w:rFonts w:ascii="Times New Roman"/>
          <w:b/>
          <w:i w:val="false"/>
          <w:color w:val="000000"/>
        </w:rPr>
        <w:t xml:space="preserve"> 1. АНАЛИЗ ТЕКУЩЕГО СОСТОЯНИЯ УПРАВЛЕНИЯ ОТХОДАМИ</w:t>
      </w:r>
    </w:p>
    <w:bookmarkEnd w:id="44"/>
    <w:bookmarkStart w:name="z54" w:id="45"/>
    <w:p>
      <w:pPr>
        <w:spacing w:after="0"/>
        <w:ind w:left="0"/>
        <w:jc w:val="left"/>
      </w:pPr>
      <w:r>
        <w:rPr>
          <w:rFonts w:ascii="Times New Roman"/>
          <w:b/>
          <w:i w:val="false"/>
          <w:color w:val="000000"/>
        </w:rPr>
        <w:t xml:space="preserve"> 1.1 Общие сведения о системе управления коммунальными отходами в Республике Казахстан</w:t>
      </w:r>
    </w:p>
    <w:bookmarkEnd w:id="45"/>
    <w:bookmarkStart w:name="z55" w:id="46"/>
    <w:p>
      <w:pPr>
        <w:spacing w:after="0"/>
        <w:ind w:left="0"/>
        <w:jc w:val="both"/>
      </w:pPr>
      <w:r>
        <w:rPr>
          <w:rFonts w:ascii="Times New Roman"/>
          <w:b w:val="false"/>
          <w:i w:val="false"/>
          <w:color w:val="000000"/>
          <w:sz w:val="28"/>
        </w:rPr>
        <w:t xml:space="preserve">
      Определение коммунальных отходов, дается в пункте 1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где под коммунальными отходами понимаются следующие отходы потребления:</w:t>
      </w:r>
    </w:p>
    <w:bookmarkEnd w:id="46"/>
    <w:bookmarkStart w:name="z56" w:id="47"/>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47"/>
    <w:bookmarkStart w:name="z57" w:id="48"/>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48"/>
    <w:bookmarkStart w:name="z58" w:id="49"/>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49"/>
    <w:bookmarkStart w:name="z59" w:id="50"/>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50"/>
    <w:bookmarkStart w:name="z60" w:id="51"/>
    <w:p>
      <w:pPr>
        <w:spacing w:after="0"/>
        <w:ind w:left="0"/>
        <w:jc w:val="both"/>
      </w:pPr>
      <w:r>
        <w:rPr>
          <w:rFonts w:ascii="Times New Roman"/>
          <w:b w:val="false"/>
          <w:i w:val="false"/>
          <w:color w:val="000000"/>
          <w:sz w:val="28"/>
        </w:rPr>
        <w:t>
      Управление отходами представляет собой действия с отходами по степени их приоритетности с целью минимизации негативного воздействия на окружающую среду и здоровье человека и следует по следующим этапам.</w:t>
      </w:r>
    </w:p>
    <w:bookmarkEnd w:id="51"/>
    <w:bookmarkStart w:name="z61" w:id="52"/>
    <w:p>
      <w:pPr>
        <w:spacing w:after="0"/>
        <w:ind w:left="0"/>
        <w:jc w:val="both"/>
      </w:pPr>
      <w:r>
        <w:rPr>
          <w:rFonts w:ascii="Times New Roman"/>
          <w:b w:val="false"/>
          <w:i w:val="false"/>
          <w:color w:val="000000"/>
          <w:sz w:val="28"/>
        </w:rPr>
        <w:t>
      - предотвращение или снижение образования отходов;</w:t>
      </w:r>
    </w:p>
    <w:bookmarkEnd w:id="52"/>
    <w:bookmarkStart w:name="z62" w:id="53"/>
    <w:p>
      <w:pPr>
        <w:spacing w:after="0"/>
        <w:ind w:left="0"/>
        <w:jc w:val="both"/>
      </w:pPr>
      <w:r>
        <w:rPr>
          <w:rFonts w:ascii="Times New Roman"/>
          <w:b w:val="false"/>
          <w:i w:val="false"/>
          <w:color w:val="000000"/>
          <w:sz w:val="28"/>
        </w:rPr>
        <w:t>
      - разделение отходов у источников их образования;</w:t>
      </w:r>
    </w:p>
    <w:bookmarkEnd w:id="53"/>
    <w:bookmarkStart w:name="z63" w:id="54"/>
    <w:p>
      <w:pPr>
        <w:spacing w:after="0"/>
        <w:ind w:left="0"/>
        <w:jc w:val="both"/>
      </w:pPr>
      <w:r>
        <w:rPr>
          <w:rFonts w:ascii="Times New Roman"/>
          <w:b w:val="false"/>
          <w:i w:val="false"/>
          <w:color w:val="000000"/>
          <w:sz w:val="28"/>
        </w:rPr>
        <w:t>
      - вторичное использование отходов, переработка их в сырье и продукты;</w:t>
      </w:r>
    </w:p>
    <w:bookmarkEnd w:id="54"/>
    <w:bookmarkStart w:name="z64" w:id="55"/>
    <w:p>
      <w:pPr>
        <w:spacing w:after="0"/>
        <w:ind w:left="0"/>
        <w:jc w:val="both"/>
      </w:pPr>
      <w:r>
        <w:rPr>
          <w:rFonts w:ascii="Times New Roman"/>
          <w:b w:val="false"/>
          <w:i w:val="false"/>
          <w:color w:val="000000"/>
          <w:sz w:val="28"/>
        </w:rPr>
        <w:t>
      - сжигание с получением энергии;</w:t>
      </w:r>
    </w:p>
    <w:bookmarkEnd w:id="55"/>
    <w:bookmarkStart w:name="z65" w:id="56"/>
    <w:p>
      <w:pPr>
        <w:spacing w:after="0"/>
        <w:ind w:left="0"/>
        <w:jc w:val="both"/>
      </w:pPr>
      <w:r>
        <w:rPr>
          <w:rFonts w:ascii="Times New Roman"/>
          <w:b w:val="false"/>
          <w:i w:val="false"/>
          <w:color w:val="000000"/>
          <w:sz w:val="28"/>
        </w:rPr>
        <w:t>
      - обезвреживание или подготовка отходов для захоронения;</w:t>
      </w:r>
    </w:p>
    <w:bookmarkEnd w:id="56"/>
    <w:bookmarkStart w:name="z66" w:id="57"/>
    <w:p>
      <w:pPr>
        <w:spacing w:after="0"/>
        <w:ind w:left="0"/>
        <w:jc w:val="both"/>
      </w:pPr>
      <w:r>
        <w:rPr>
          <w:rFonts w:ascii="Times New Roman"/>
          <w:b w:val="false"/>
          <w:i w:val="false"/>
          <w:color w:val="000000"/>
          <w:sz w:val="28"/>
        </w:rPr>
        <w:t>
      - захоронение отходов.</w:t>
      </w:r>
    </w:p>
    <w:bookmarkEnd w:id="57"/>
    <w:bookmarkStart w:name="z67" w:id="58"/>
    <w:p>
      <w:pPr>
        <w:spacing w:after="0"/>
        <w:ind w:left="0"/>
        <w:jc w:val="both"/>
      </w:pPr>
      <w:r>
        <w:rPr>
          <w:rFonts w:ascii="Times New Roman"/>
          <w:b w:val="false"/>
          <w:i w:val="false"/>
          <w:color w:val="000000"/>
          <w:sz w:val="28"/>
        </w:rPr>
        <w:t>
      Охват населения сбором и вывозом отходов в настоящее время составляет 70%. В крупных городах охват – 100%. Низкий охват в районах и сельских населенных пунктах</w:t>
      </w:r>
    </w:p>
    <w:bookmarkEnd w:id="58"/>
    <w:bookmarkStart w:name="z68" w:id="59"/>
    <w:p>
      <w:pPr>
        <w:spacing w:after="0"/>
        <w:ind w:left="0"/>
        <w:jc w:val="both"/>
      </w:pPr>
      <w:r>
        <w:rPr>
          <w:rFonts w:ascii="Times New Roman"/>
          <w:b w:val="false"/>
          <w:i w:val="false"/>
          <w:color w:val="000000"/>
          <w:sz w:val="28"/>
        </w:rPr>
        <w:t>
      Ежегодно в Казахстане образуется 5-6 миллионов тонн твердых бытовых отходов. В ближайшие годы следует ожидать увеличения объемов образования ТБО за счет увеличения номенклатуры продовольственных и непродовольственных товаров, ассортимента и видов упаковки для них, роста уровня жизни населения.</w:t>
      </w:r>
    </w:p>
    <w:bookmarkEnd w:id="59"/>
    <w:bookmarkStart w:name="z69" w:id="60"/>
    <w:p>
      <w:pPr>
        <w:spacing w:after="0"/>
        <w:ind w:left="0"/>
        <w:jc w:val="both"/>
      </w:pPr>
      <w:r>
        <w:rPr>
          <w:rFonts w:ascii="Times New Roman"/>
          <w:b w:val="false"/>
          <w:i w:val="false"/>
          <w:color w:val="000000"/>
          <w:sz w:val="28"/>
        </w:rPr>
        <w:t>
      Твердые бытовые отходы делятся на три категории:</w:t>
      </w:r>
    </w:p>
    <w:bookmarkEnd w:id="60"/>
    <w:bookmarkStart w:name="z70" w:id="61"/>
    <w:p>
      <w:pPr>
        <w:spacing w:after="0"/>
        <w:ind w:left="0"/>
        <w:jc w:val="both"/>
      </w:pPr>
      <w:r>
        <w:rPr>
          <w:rFonts w:ascii="Times New Roman"/>
          <w:b w:val="false"/>
          <w:i w:val="false"/>
          <w:color w:val="000000"/>
          <w:sz w:val="28"/>
        </w:rPr>
        <w:t>
      1) вторичное сырье, подлежащее переработке, выделяемое из общего потока;</w:t>
      </w:r>
    </w:p>
    <w:bookmarkEnd w:id="61"/>
    <w:bookmarkStart w:name="z71" w:id="62"/>
    <w:p>
      <w:pPr>
        <w:spacing w:after="0"/>
        <w:ind w:left="0"/>
        <w:jc w:val="both"/>
      </w:pPr>
      <w:r>
        <w:rPr>
          <w:rFonts w:ascii="Times New Roman"/>
          <w:b w:val="false"/>
          <w:i w:val="false"/>
          <w:color w:val="000000"/>
          <w:sz w:val="28"/>
        </w:rPr>
        <w:t>
      2) биоразлагаемые отходы, подлежащее компостированию (пищевые отходы);</w:t>
      </w:r>
    </w:p>
    <w:bookmarkEnd w:id="62"/>
    <w:bookmarkStart w:name="z72" w:id="63"/>
    <w:p>
      <w:pPr>
        <w:spacing w:after="0"/>
        <w:ind w:left="0"/>
        <w:jc w:val="both"/>
      </w:pPr>
      <w:r>
        <w:rPr>
          <w:rFonts w:ascii="Times New Roman"/>
          <w:b w:val="false"/>
          <w:i w:val="false"/>
          <w:color w:val="000000"/>
          <w:sz w:val="28"/>
        </w:rPr>
        <w:t>
      3) не перерабатываемые отходы (хвосты) в настоящее время либо не могут быть переработаны повторно в продукцию, либо их переработка является высокозатратной. Согласно современной концепции направляются на получение энергии путем сжигания (пиролиз).</w:t>
      </w:r>
    </w:p>
    <w:bookmarkEnd w:id="63"/>
    <w:bookmarkStart w:name="z73" w:id="64"/>
    <w:p>
      <w:pPr>
        <w:spacing w:after="0"/>
        <w:ind w:left="0"/>
        <w:jc w:val="both"/>
      </w:pPr>
      <w:r>
        <w:rPr>
          <w:rFonts w:ascii="Times New Roman"/>
          <w:b w:val="false"/>
          <w:i w:val="false"/>
          <w:color w:val="000000"/>
          <w:sz w:val="28"/>
        </w:rPr>
        <w:t>
      Морфологический состав отходов в сельских районах отличается от такового в городской местности. В нем доминируют органические отходы и меньшая доля пластмассы, упаковочных материалов, бумаги и картона. Следует отметить, что в сельских районах органическая часть отходов обычно не размещается на полигоне или свалках. Значительная доля органических отходов скармливается животным или компостируются в домашних условиях. Кроме того, дерево и другие материалы могут сжигаться с целью отопления. Оба этих вида деятельности оказывают влияние на состав и объемы образующихся отходов.</w:t>
      </w:r>
    </w:p>
    <w:bookmarkEnd w:id="64"/>
    <w:bookmarkStart w:name="z74" w:id="65"/>
    <w:p>
      <w:pPr>
        <w:spacing w:after="0"/>
        <w:ind w:left="0"/>
        <w:jc w:val="both"/>
      </w:pPr>
      <w:r>
        <w:rPr>
          <w:rFonts w:ascii="Times New Roman"/>
          <w:b w:val="false"/>
          <w:i w:val="false"/>
          <w:color w:val="000000"/>
          <w:sz w:val="28"/>
        </w:rPr>
        <w:t xml:space="preserve">
      Управление отходами в Казахстане регулируется </w:t>
      </w:r>
      <w:r>
        <w:rPr>
          <w:rFonts w:ascii="Times New Roman"/>
          <w:b w:val="false"/>
          <w:i w:val="false"/>
          <w:color w:val="000000"/>
          <w:sz w:val="28"/>
        </w:rPr>
        <w:t>Экологическим кодексом</w:t>
      </w:r>
      <w:r>
        <w:rPr>
          <w:rFonts w:ascii="Times New Roman"/>
          <w:b w:val="false"/>
          <w:i w:val="false"/>
          <w:color w:val="000000"/>
          <w:sz w:val="28"/>
        </w:rPr>
        <w:t xml:space="preserve">. В 2013 году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утверждена Концепция по переходу Республики Казахстан к "зеленой экономике". Одним из ключевых направлений Концепции является повышение эффективности, надежности, экологической и социальной приемлемости сбора, транспортировки, переработки и удаления твердых бытовых отходов (далее ТБО). Целевыми показателями являются доля переработки отходов до 40% к 2030 году и 50% к 2050 году, а охват населения централизованным сбором ТБО к 2030 году должен составить 100%. В целях развития сферы переработки ТБО совершенствована нормативная правовая база. В частности, внесены поправки в Экологический кодекс:</w:t>
      </w:r>
    </w:p>
    <w:bookmarkEnd w:id="65"/>
    <w:bookmarkStart w:name="z75" w:id="66"/>
    <w:p>
      <w:pPr>
        <w:spacing w:after="0"/>
        <w:ind w:left="0"/>
        <w:jc w:val="both"/>
      </w:pPr>
      <w:r>
        <w:rPr>
          <w:rFonts w:ascii="Times New Roman"/>
          <w:b w:val="false"/>
          <w:i w:val="false"/>
          <w:color w:val="000000"/>
          <w:sz w:val="28"/>
        </w:rPr>
        <w:t>
      - введены понятия "раздельный сбор коммунальных отходов", "вторичное сырье", установлены требования к ним;</w:t>
      </w:r>
    </w:p>
    <w:bookmarkEnd w:id="66"/>
    <w:bookmarkStart w:name="z76" w:id="67"/>
    <w:p>
      <w:pPr>
        <w:spacing w:after="0"/>
        <w:ind w:left="0"/>
        <w:jc w:val="both"/>
      </w:pPr>
      <w:r>
        <w:rPr>
          <w:rFonts w:ascii="Times New Roman"/>
          <w:b w:val="false"/>
          <w:i w:val="false"/>
          <w:color w:val="000000"/>
          <w:sz w:val="28"/>
        </w:rPr>
        <w:t>
      - введены расширенные обязательства производителей (импортеров);</w:t>
      </w:r>
    </w:p>
    <w:bookmarkEnd w:id="67"/>
    <w:bookmarkStart w:name="z77" w:id="68"/>
    <w:p>
      <w:pPr>
        <w:spacing w:after="0"/>
        <w:ind w:left="0"/>
        <w:jc w:val="both"/>
      </w:pPr>
      <w:r>
        <w:rPr>
          <w:rFonts w:ascii="Times New Roman"/>
          <w:b w:val="false"/>
          <w:i w:val="false"/>
          <w:color w:val="000000"/>
          <w:sz w:val="28"/>
        </w:rPr>
        <w:t>
      - введен запрет на захоронение на полигонах некоторых видов отходов.</w:t>
      </w:r>
    </w:p>
    <w:bookmarkEnd w:id="68"/>
    <w:bookmarkStart w:name="z78" w:id="69"/>
    <w:p>
      <w:pPr>
        <w:spacing w:after="0"/>
        <w:ind w:left="0"/>
        <w:jc w:val="both"/>
      </w:pPr>
      <w:r>
        <w:rPr>
          <w:rFonts w:ascii="Times New Roman"/>
          <w:b w:val="false"/>
          <w:i w:val="false"/>
          <w:color w:val="000000"/>
          <w:sz w:val="28"/>
        </w:rPr>
        <w:t>
      С 2016 года запрещено захоронение на полигонах ртутьсодержащих ламп и приборов, лома металлов, отработанных масел и жидкости, батарей, электронных отходов.</w:t>
      </w:r>
    </w:p>
    <w:bookmarkEnd w:id="69"/>
    <w:bookmarkStart w:name="z79" w:id="70"/>
    <w:p>
      <w:pPr>
        <w:spacing w:after="0"/>
        <w:ind w:left="0"/>
        <w:jc w:val="both"/>
      </w:pPr>
      <w:r>
        <w:rPr>
          <w:rFonts w:ascii="Times New Roman"/>
          <w:b w:val="false"/>
          <w:i w:val="false"/>
          <w:color w:val="000000"/>
          <w:sz w:val="28"/>
        </w:rPr>
        <w:t>
      С 1 января 2019 года вступил в силу запрет на захоронение пластмассы, макулатуры, картона и отходов бумаги, стекла.</w:t>
      </w:r>
    </w:p>
    <w:bookmarkEnd w:id="70"/>
    <w:bookmarkStart w:name="z80" w:id="71"/>
    <w:p>
      <w:pPr>
        <w:spacing w:after="0"/>
        <w:ind w:left="0"/>
        <w:jc w:val="both"/>
      </w:pPr>
      <w:r>
        <w:rPr>
          <w:rFonts w:ascii="Times New Roman"/>
          <w:b w:val="false"/>
          <w:i w:val="false"/>
          <w:color w:val="000000"/>
          <w:sz w:val="28"/>
        </w:rPr>
        <w:t>
      С 2021 года на строительные и пищевые отходы.</w:t>
      </w:r>
    </w:p>
    <w:bookmarkEnd w:id="71"/>
    <w:bookmarkStart w:name="z81" w:id="72"/>
    <w:p>
      <w:pPr>
        <w:spacing w:after="0"/>
        <w:ind w:left="0"/>
        <w:jc w:val="both"/>
      </w:pPr>
      <w:r>
        <w:rPr>
          <w:rFonts w:ascii="Times New Roman"/>
          <w:b w:val="false"/>
          <w:i w:val="false"/>
          <w:color w:val="000000"/>
          <w:sz w:val="28"/>
        </w:rPr>
        <w:t xml:space="preserve">
      В соответствии с подпунктом 1) пункта 4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местные исполнительные органы районов, городов областного значения, городов республиканского значения, столицы реализуют государственную политику в области управления коммунальными отходами посредством:</w:t>
      </w:r>
    </w:p>
    <w:bookmarkEnd w:id="72"/>
    <w:bookmarkStart w:name="z82" w:id="73"/>
    <w:p>
      <w:pPr>
        <w:spacing w:after="0"/>
        <w:ind w:left="0"/>
        <w:jc w:val="both"/>
      </w:pPr>
      <w:r>
        <w:rPr>
          <w:rFonts w:ascii="Times New Roman"/>
          <w:b w:val="false"/>
          <w:i w:val="false"/>
          <w:color w:val="000000"/>
          <w:sz w:val="28"/>
        </w:rPr>
        <w:t>
      1) организации разработки программ по управлению коммунальными отходами и обеспечения их выполнения.</w:t>
      </w:r>
    </w:p>
    <w:bookmarkEnd w:id="73"/>
    <w:bookmarkStart w:name="z83" w:id="74"/>
    <w:p>
      <w:pPr>
        <w:spacing w:after="0"/>
        <w:ind w:left="0"/>
        <w:jc w:val="both"/>
      </w:pPr>
      <w:r>
        <w:rPr>
          <w:rFonts w:ascii="Times New Roman"/>
          <w:b w:val="false"/>
          <w:i w:val="false"/>
          <w:color w:val="000000"/>
          <w:sz w:val="28"/>
        </w:rPr>
        <w:t>
      Таблица 4 Образование коммунальных отходов и уровень их переработки в Республике Казахстан</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коммунальных отходов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образования коммунальных отходов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2010=100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утилизация коммунальных отходов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и утилизации коммунальных отходов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образования коммунальных отходов на душу населения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bl>
    <w:bookmarkStart w:name="z84" w:id="75"/>
    <w:p>
      <w:pPr>
        <w:spacing w:after="0"/>
        <w:ind w:left="0"/>
        <w:jc w:val="both"/>
      </w:pPr>
      <w:r>
        <w:rPr>
          <w:rFonts w:ascii="Times New Roman"/>
          <w:b w:val="false"/>
          <w:i w:val="false"/>
          <w:color w:val="000000"/>
          <w:sz w:val="28"/>
        </w:rPr>
        <w:t xml:space="preserve">
      Формировать (рассчитывать) тарифы на сбор ТБО акиматы должны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экологии, геологии и природных ресурсов Республики Казахстан от 14 сентября 2021 года № 377 "Об утверждении Методики расчета тарифа для населения на сбор, транспортировку, сортировку и захоронение твердых бытовых отходов".</w:t>
      </w:r>
    </w:p>
    <w:bookmarkEnd w:id="75"/>
    <w:bookmarkStart w:name="z85" w:id="76"/>
    <w:p>
      <w:pPr>
        <w:spacing w:after="0"/>
        <w:ind w:left="0"/>
        <w:jc w:val="both"/>
      </w:pPr>
      <w:r>
        <w:rPr>
          <w:rFonts w:ascii="Times New Roman"/>
          <w:b w:val="false"/>
          <w:i w:val="false"/>
          <w:color w:val="000000"/>
          <w:sz w:val="28"/>
        </w:rPr>
        <w:t>
      Согласно нормам действующего с 2021 года приказа, в расчет тарифа на вывоз ТБО включаются:</w:t>
      </w:r>
    </w:p>
    <w:bookmarkEnd w:id="76"/>
    <w:bookmarkStart w:name="z86" w:id="77"/>
    <w:p>
      <w:pPr>
        <w:spacing w:after="0"/>
        <w:ind w:left="0"/>
        <w:jc w:val="both"/>
      </w:pPr>
      <w:r>
        <w:rPr>
          <w:rFonts w:ascii="Times New Roman"/>
          <w:b w:val="false"/>
          <w:i w:val="false"/>
          <w:color w:val="000000"/>
          <w:sz w:val="28"/>
        </w:rPr>
        <w:t>
      1) себестоимость, отражающая фактические и/или нормативные затраты (сумма затрат на выполнение услуг по сбору, транспортировке, сортировке и захоронению ТБО, общеэксплуатационных и внеэксплуатационных расходов);</w:t>
      </w:r>
    </w:p>
    <w:bookmarkEnd w:id="77"/>
    <w:bookmarkStart w:name="z87" w:id="78"/>
    <w:p>
      <w:pPr>
        <w:spacing w:after="0"/>
        <w:ind w:left="0"/>
        <w:jc w:val="both"/>
      </w:pPr>
      <w:r>
        <w:rPr>
          <w:rFonts w:ascii="Times New Roman"/>
          <w:b w:val="false"/>
          <w:i w:val="false"/>
          <w:color w:val="000000"/>
          <w:sz w:val="28"/>
        </w:rPr>
        <w:t>
      2) допустимый уровень прибыли, который определяется на уровне не выше ставки рефинансирования Национального Банка Республики Казахстан на дату расчета тарифа.</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Решением</w:t>
      </w:r>
      <w:r>
        <w:rPr>
          <w:rFonts w:ascii="Times New Roman"/>
          <w:b w:val="false"/>
          <w:i w:val="false"/>
          <w:color w:val="000000"/>
          <w:sz w:val="28"/>
        </w:rPr>
        <w:t xml:space="preserve"> маслихата Житикаринского района Костанайской области от 30 декабря 2022 года № 248 "Об утверждении тарифов для населения на сбор, транспортировку, сортировку и захоронение твердых бытовых отходов по Житикаринскому району" в Житикаринском районе утверждены следующие тарифы для населения на сбор, транспортировку, сортировку и захоронение твердых бытовых отходов:</w:t>
      </w:r>
    </w:p>
    <w:bookmarkStart w:name="z89" w:id="79"/>
    <w:p>
      <w:pPr>
        <w:spacing w:after="0"/>
        <w:ind w:left="0"/>
        <w:jc w:val="both"/>
      </w:pPr>
      <w:r>
        <w:rPr>
          <w:rFonts w:ascii="Times New Roman"/>
          <w:b w:val="false"/>
          <w:i w:val="false"/>
          <w:color w:val="000000"/>
          <w:sz w:val="28"/>
        </w:rPr>
        <w:t>
      Таблица 5 Тарифы для населения на сбор, транспортировку, сортировку и захоронение твердых бытовых отходов по Житикаринскому району</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(Без НДС)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Домовладения благоустроенные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 с 1-го жителя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 с 1-го жителя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тариф на единицу (объем)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4028,15</w:t>
            </w:r>
          </w:p>
        </w:tc>
      </w:tr>
    </w:tbl>
    <w:bookmarkStart w:name="z90" w:id="80"/>
    <w:p>
      <w:pPr>
        <w:spacing w:after="0"/>
        <w:ind w:left="0"/>
        <w:jc w:val="both"/>
      </w:pPr>
      <w:r>
        <w:rPr>
          <w:rFonts w:ascii="Times New Roman"/>
          <w:b w:val="false"/>
          <w:i w:val="false"/>
          <w:color w:val="000000"/>
          <w:sz w:val="28"/>
        </w:rPr>
        <w:t>
      В целом считается, что управление отходами включает все следующие виды деятельности: сбор, перевозку, переработку и удаление отходов, включая последующий уход за объектами по удалению отходов, а также, по мнению некоторых экспертов, деятельность, направленную на сокращение образования отходов.</w:t>
      </w:r>
    </w:p>
    <w:bookmarkEnd w:id="80"/>
    <w:bookmarkStart w:name="z91" w:id="81"/>
    <w:p>
      <w:pPr>
        <w:spacing w:after="0"/>
        <w:ind w:left="0"/>
        <w:jc w:val="both"/>
      </w:pPr>
      <w:r>
        <w:rPr>
          <w:rFonts w:ascii="Times New Roman"/>
          <w:b w:val="false"/>
          <w:i w:val="false"/>
          <w:color w:val="000000"/>
          <w:sz w:val="28"/>
        </w:rPr>
        <w:t>
      Одним из важнейших направлений охраны окружающей среды является рациональная организация управления отходами производства и потребления. Важную роль в этом играет экономическое стимулирование внедрения малоотходных и безотходных технологий, переработки отходов в целях их обезвреживания и утилизации.</w:t>
      </w:r>
    </w:p>
    <w:bookmarkEnd w:id="81"/>
    <w:bookmarkStart w:name="z92" w:id="82"/>
    <w:p>
      <w:pPr>
        <w:spacing w:after="0"/>
        <w:ind w:left="0"/>
        <w:jc w:val="both"/>
      </w:pPr>
      <w:r>
        <w:rPr>
          <w:rFonts w:ascii="Times New Roman"/>
          <w:b w:val="false"/>
          <w:i w:val="false"/>
          <w:color w:val="000000"/>
          <w:sz w:val="28"/>
        </w:rPr>
        <w:t>
      За 2021 год по Республике количество полигонов ТБО составило 3 007, из них соответствуют экологическим и санитарным нормам 603 (20%).</w:t>
      </w:r>
    </w:p>
    <w:bookmarkEnd w:id="82"/>
    <w:bookmarkStart w:name="z93" w:id="83"/>
    <w:p>
      <w:pPr>
        <w:spacing w:after="0"/>
        <w:ind w:left="0"/>
        <w:jc w:val="both"/>
      </w:pPr>
      <w:r>
        <w:rPr>
          <w:rFonts w:ascii="Times New Roman"/>
          <w:b w:val="false"/>
          <w:i w:val="false"/>
          <w:color w:val="000000"/>
          <w:sz w:val="28"/>
        </w:rPr>
        <w:t>
      Таблица 6 Доля полигонов, соответствующих экологическим и санитарно-эпидемиологическим нормам</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полигонов ТБО,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соответствующих нормам полигонов,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полигонов соответствующих нормам,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bl>
    <w:bookmarkStart w:name="z94" w:id="84"/>
    <w:p>
      <w:pPr>
        <w:spacing w:after="0"/>
        <w:ind w:left="0"/>
        <w:jc w:val="both"/>
      </w:pPr>
      <w:r>
        <w:rPr>
          <w:rFonts w:ascii="Times New Roman"/>
          <w:b w:val="false"/>
          <w:i w:val="false"/>
          <w:color w:val="000000"/>
          <w:sz w:val="28"/>
        </w:rPr>
        <w:t>
      Таблица свидетельствует о том, что значительная часть полигонов в Костанайской области не соответствует установленным нормам по обращению с твердыми бытовыми отходами. Это требует усилий и мер для улучшения системы управления отходами в регионе с целью соответствия экологическим и санитарным стандартам.</w:t>
      </w:r>
    </w:p>
    <w:bookmarkEnd w:id="84"/>
    <w:bookmarkStart w:name="z95" w:id="85"/>
    <w:p>
      <w:pPr>
        <w:spacing w:after="0"/>
        <w:ind w:left="0"/>
        <w:jc w:val="both"/>
      </w:pPr>
      <w:r>
        <w:rPr>
          <w:rFonts w:ascii="Times New Roman"/>
          <w:b w:val="false"/>
          <w:i w:val="false"/>
          <w:color w:val="000000"/>
          <w:sz w:val="28"/>
        </w:rPr>
        <w:t>
      Сведения о предприятиях, осуществляющих сбор и переработку отходов.</w:t>
      </w:r>
    </w:p>
    <w:bookmarkEnd w:id="85"/>
    <w:bookmarkStart w:name="z96" w:id="86"/>
    <w:p>
      <w:pPr>
        <w:spacing w:after="0"/>
        <w:ind w:left="0"/>
        <w:jc w:val="both"/>
      </w:pPr>
      <w:r>
        <w:rPr>
          <w:rFonts w:ascii="Times New Roman"/>
          <w:b w:val="false"/>
          <w:i w:val="false"/>
          <w:color w:val="000000"/>
          <w:sz w:val="28"/>
        </w:rPr>
        <w:t>
      Таблица 7 Утилизация отходов стеклянной упаковки</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тонн в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АлматыСтекло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 Карасайский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Еврокристалл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QazaqGlassCompany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 Илийская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в 2021 году, 25000 в 2022 году</w:t>
            </w:r>
          </w:p>
        </w:tc>
      </w:tr>
    </w:tbl>
    <w:bookmarkStart w:name="z97" w:id="87"/>
    <w:p>
      <w:pPr>
        <w:spacing w:after="0"/>
        <w:ind w:left="0"/>
        <w:jc w:val="both"/>
      </w:pPr>
      <w:r>
        <w:rPr>
          <w:rFonts w:ascii="Times New Roman"/>
          <w:b w:val="false"/>
          <w:i w:val="false"/>
          <w:color w:val="000000"/>
          <w:sz w:val="28"/>
        </w:rPr>
        <w:t>
      Таблица 7 предоставляет информацию о трех предприятиях в Республике Казахстан, занимающихся утилизацией отходов стеклянной упаковки. Эти предприятия распределены по разным регионам страны и обладают различными мощностями утилизации.</w:t>
      </w:r>
    </w:p>
    <w:bookmarkEnd w:id="87"/>
    <w:bookmarkStart w:name="z98" w:id="88"/>
    <w:p>
      <w:pPr>
        <w:spacing w:after="0"/>
        <w:ind w:left="0"/>
        <w:jc w:val="both"/>
      </w:pPr>
      <w:r>
        <w:rPr>
          <w:rFonts w:ascii="Times New Roman"/>
          <w:b w:val="false"/>
          <w:i w:val="false"/>
          <w:color w:val="000000"/>
          <w:sz w:val="28"/>
        </w:rPr>
        <w:t>
      Однако стоит отметить, что количество предприятий, занимающихся утилизацией стеклянной упаковки, представленных в таблице, оказывается невелико в масштабах всей страны. Несмотря на значимость их деятельности, необходимо принимать во внимание обширность территории Казахстана и потенциально значительные объемы стеклоотходов, генерируемых на всей территории страны.</w:t>
      </w:r>
    </w:p>
    <w:bookmarkEnd w:id="88"/>
    <w:bookmarkStart w:name="z99" w:id="89"/>
    <w:p>
      <w:pPr>
        <w:spacing w:after="0"/>
        <w:ind w:left="0"/>
        <w:jc w:val="both"/>
      </w:pPr>
      <w:r>
        <w:rPr>
          <w:rFonts w:ascii="Times New Roman"/>
          <w:b w:val="false"/>
          <w:i w:val="false"/>
          <w:color w:val="000000"/>
          <w:sz w:val="28"/>
        </w:rPr>
        <w:t>
      Это представляет вызов в области управления отходами и подчеркивает важность расширения инфраструктуры для утилизации стеклянной упаковки национального масштаба.</w:t>
      </w:r>
    </w:p>
    <w:bookmarkEnd w:id="89"/>
    <w:bookmarkStart w:name="z100" w:id="90"/>
    <w:p>
      <w:pPr>
        <w:spacing w:after="0"/>
        <w:ind w:left="0"/>
        <w:jc w:val="both"/>
      </w:pPr>
      <w:r>
        <w:rPr>
          <w:rFonts w:ascii="Times New Roman"/>
          <w:b w:val="false"/>
          <w:i w:val="false"/>
          <w:color w:val="000000"/>
          <w:sz w:val="28"/>
        </w:rPr>
        <w:t>
      Таблица 8 Утилизация отходов пластмассовой упаковки</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тонн в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AstanaRecyclingPlant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GreenTechnologyIndustries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 Ордабасинский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1"/>
          <w:p>
            <w:pPr>
              <w:spacing w:after="20"/>
              <w:ind w:left="20"/>
              <w:jc w:val="both"/>
            </w:pPr>
            <w:r>
              <w:rPr>
                <w:rFonts w:ascii="Times New Roman"/>
                <w:b w:val="false"/>
                <w:i w:val="false"/>
                <w:color w:val="000000"/>
                <w:sz w:val="20"/>
              </w:rPr>
              <w:t>
7 000 тонн в 2021 году;</w:t>
            </w:r>
          </w:p>
          <w:bookmarkEnd w:id="91"/>
          <w:p>
            <w:pPr>
              <w:spacing w:after="20"/>
              <w:ind w:left="20"/>
              <w:jc w:val="both"/>
            </w:pPr>
            <w:r>
              <w:rPr>
                <w:rFonts w:ascii="Times New Roman"/>
                <w:b w:val="false"/>
                <w:i w:val="false"/>
                <w:color w:val="000000"/>
                <w:sz w:val="20"/>
              </w:rPr>
              <w:t>
 10 000 тонн в 2022 году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Радуга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город Петропавловск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ГорКомТранс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город Караганда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2"/>
          <w:p>
            <w:pPr>
              <w:spacing w:after="20"/>
              <w:ind w:left="20"/>
              <w:jc w:val="both"/>
            </w:pPr>
            <w:r>
              <w:rPr>
                <w:rFonts w:ascii="Times New Roman"/>
                <w:b w:val="false"/>
                <w:i w:val="false"/>
                <w:color w:val="000000"/>
                <w:sz w:val="20"/>
              </w:rPr>
              <w:t>
3 000 тонн в 2021 году;</w:t>
            </w:r>
          </w:p>
          <w:bookmarkEnd w:id="92"/>
          <w:p>
            <w:pPr>
              <w:spacing w:after="20"/>
              <w:ind w:left="20"/>
              <w:jc w:val="both"/>
            </w:pPr>
            <w:r>
              <w:rPr>
                <w:rFonts w:ascii="Times New Roman"/>
                <w:b w:val="false"/>
                <w:i w:val="false"/>
                <w:color w:val="000000"/>
                <w:sz w:val="20"/>
              </w:rPr>
              <w:t>
3 578 тонн в 2022 году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"Клининговая компания ЭкоКомфорт"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город Караганда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Статус-Эверест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 город Кентау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3"/>
          <w:p>
            <w:pPr>
              <w:spacing w:after="20"/>
              <w:ind w:left="20"/>
              <w:jc w:val="both"/>
            </w:pPr>
            <w:r>
              <w:rPr>
                <w:rFonts w:ascii="Times New Roman"/>
                <w:b w:val="false"/>
                <w:i w:val="false"/>
                <w:color w:val="000000"/>
                <w:sz w:val="20"/>
              </w:rPr>
              <w:t>
910 тонн в 2021 году;</w:t>
            </w:r>
          </w:p>
          <w:bookmarkEnd w:id="93"/>
          <w:p>
            <w:pPr>
              <w:spacing w:after="20"/>
              <w:ind w:left="20"/>
              <w:jc w:val="both"/>
            </w:pPr>
            <w:r>
              <w:rPr>
                <w:rFonts w:ascii="Times New Roman"/>
                <w:b w:val="false"/>
                <w:i w:val="false"/>
                <w:color w:val="000000"/>
                <w:sz w:val="20"/>
              </w:rPr>
              <w:t>
2 000 тонн в 2022 году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QazaqRecycling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Производственная компания Дорпласт-инвест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 город Капшагай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Попов И.А.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 город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"GreenParkKokshetau"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город Петропавловск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bl>
    <w:bookmarkStart w:name="z104" w:id="94"/>
    <w:p>
      <w:pPr>
        <w:spacing w:after="0"/>
        <w:ind w:left="0"/>
        <w:jc w:val="both"/>
      </w:pPr>
      <w:r>
        <w:rPr>
          <w:rFonts w:ascii="Times New Roman"/>
          <w:b w:val="false"/>
          <w:i w:val="false"/>
          <w:color w:val="000000"/>
          <w:sz w:val="28"/>
        </w:rPr>
        <w:t>
      Таблица 8 демонстрирует разнообразие предприятий, занимающихся утилизацией пластмассовой упаковки в различных регионах Казахстана. Распределение мощностей по городам подчеркивает важность местных инициатив и разностороннего подхода к решению проблемы утилизации отходов.</w:t>
      </w:r>
    </w:p>
    <w:bookmarkEnd w:id="94"/>
    <w:bookmarkStart w:name="z105" w:id="95"/>
    <w:p>
      <w:pPr>
        <w:spacing w:after="0"/>
        <w:ind w:left="0"/>
        <w:jc w:val="both"/>
      </w:pPr>
      <w:r>
        <w:rPr>
          <w:rFonts w:ascii="Times New Roman"/>
          <w:b w:val="false"/>
          <w:i w:val="false"/>
          <w:color w:val="000000"/>
          <w:sz w:val="28"/>
        </w:rPr>
        <w:t>
      Таблица 9 Утилизация отходов картонно-бумажной упаковки</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тонн в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KagazyRecycling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6"/>
          <w:p>
            <w:pPr>
              <w:spacing w:after="20"/>
              <w:ind w:left="20"/>
              <w:jc w:val="both"/>
            </w:pPr>
            <w:r>
              <w:rPr>
                <w:rFonts w:ascii="Times New Roman"/>
                <w:b w:val="false"/>
                <w:i w:val="false"/>
                <w:color w:val="000000"/>
                <w:sz w:val="20"/>
              </w:rPr>
              <w:t>
55 000 тонн в 2021 году;</w:t>
            </w:r>
          </w:p>
          <w:bookmarkEnd w:id="96"/>
          <w:p>
            <w:pPr>
              <w:spacing w:after="20"/>
              <w:ind w:left="20"/>
              <w:jc w:val="both"/>
            </w:pPr>
            <w:r>
              <w:rPr>
                <w:rFonts w:ascii="Times New Roman"/>
                <w:b w:val="false"/>
                <w:i w:val="false"/>
                <w:color w:val="000000"/>
                <w:sz w:val="20"/>
              </w:rPr>
              <w:t>
60 000 тонн в 2022 году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"NUR KAGAZY"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 Талгарский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7"/>
          <w:p>
            <w:pPr>
              <w:spacing w:after="20"/>
              <w:ind w:left="20"/>
              <w:jc w:val="both"/>
            </w:pPr>
            <w:r>
              <w:rPr>
                <w:rFonts w:ascii="Times New Roman"/>
                <w:b w:val="false"/>
                <w:i w:val="false"/>
                <w:color w:val="000000"/>
                <w:sz w:val="20"/>
              </w:rPr>
              <w:t>
30 000 тонн в 2021 году;</w:t>
            </w:r>
          </w:p>
          <w:bookmarkEnd w:id="97"/>
          <w:p>
            <w:pPr>
              <w:spacing w:after="20"/>
              <w:ind w:left="20"/>
              <w:jc w:val="both"/>
            </w:pPr>
            <w:r>
              <w:rPr>
                <w:rFonts w:ascii="Times New Roman"/>
                <w:b w:val="false"/>
                <w:i w:val="false"/>
                <w:color w:val="000000"/>
                <w:sz w:val="20"/>
              </w:rPr>
              <w:t>
40 000 тонн в 2022 году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"EcoPackAstana"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 Целиноградский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8"/>
          <w:p>
            <w:pPr>
              <w:spacing w:after="20"/>
              <w:ind w:left="20"/>
              <w:jc w:val="both"/>
            </w:pPr>
            <w:r>
              <w:rPr>
                <w:rFonts w:ascii="Times New Roman"/>
                <w:b w:val="false"/>
                <w:i w:val="false"/>
                <w:color w:val="000000"/>
                <w:sz w:val="20"/>
              </w:rPr>
              <w:t>
2 160 тонн в 2021 году;</w:t>
            </w:r>
          </w:p>
          <w:bookmarkEnd w:id="98"/>
          <w:p>
            <w:pPr>
              <w:spacing w:after="20"/>
              <w:ind w:left="20"/>
              <w:jc w:val="both"/>
            </w:pPr>
            <w:r>
              <w:rPr>
                <w:rFonts w:ascii="Times New Roman"/>
                <w:b w:val="false"/>
                <w:i w:val="false"/>
                <w:color w:val="000000"/>
                <w:sz w:val="20"/>
              </w:rPr>
              <w:t>
5 400 тонн в 2022 году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Картонно-Бумажный Комбинат-2015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 город Лисаковск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ЛисБум.KZ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 город Лисаковск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9"/>
          <w:p>
            <w:pPr>
              <w:spacing w:after="20"/>
              <w:ind w:left="20"/>
              <w:jc w:val="both"/>
            </w:pPr>
            <w:r>
              <w:rPr>
                <w:rFonts w:ascii="Times New Roman"/>
                <w:b w:val="false"/>
                <w:i w:val="false"/>
                <w:color w:val="000000"/>
                <w:sz w:val="20"/>
              </w:rPr>
              <w:t>
2 000 тонн в 2021 году;</w:t>
            </w:r>
          </w:p>
          <w:bookmarkEnd w:id="99"/>
          <w:p>
            <w:pPr>
              <w:spacing w:after="20"/>
              <w:ind w:left="20"/>
              <w:jc w:val="both"/>
            </w:pPr>
            <w:r>
              <w:rPr>
                <w:rFonts w:ascii="Times New Roman"/>
                <w:b w:val="false"/>
                <w:i w:val="false"/>
                <w:color w:val="000000"/>
                <w:sz w:val="20"/>
              </w:rPr>
              <w:t>
3 000 тонн в 2022 году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Бумпром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 Енбекшинский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0"/>
          <w:p>
            <w:pPr>
              <w:spacing w:after="20"/>
              <w:ind w:left="20"/>
              <w:jc w:val="both"/>
            </w:pPr>
            <w:r>
              <w:rPr>
                <w:rFonts w:ascii="Times New Roman"/>
                <w:b w:val="false"/>
                <w:i w:val="false"/>
                <w:color w:val="000000"/>
                <w:sz w:val="20"/>
              </w:rPr>
              <w:t>
10 000 тонн в 2021 году;</w:t>
            </w:r>
          </w:p>
          <w:bookmarkEnd w:id="100"/>
          <w:p>
            <w:pPr>
              <w:spacing w:after="20"/>
              <w:ind w:left="20"/>
              <w:jc w:val="both"/>
            </w:pPr>
            <w:r>
              <w:rPr>
                <w:rFonts w:ascii="Times New Roman"/>
                <w:b w:val="false"/>
                <w:i w:val="false"/>
                <w:color w:val="000000"/>
                <w:sz w:val="20"/>
              </w:rPr>
              <w:t>
15 000 тонн в 2022 году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GoldmanAstana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Кызылжарский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1"/>
          <w:p>
            <w:pPr>
              <w:spacing w:after="20"/>
              <w:ind w:left="20"/>
              <w:jc w:val="both"/>
            </w:pPr>
            <w:r>
              <w:rPr>
                <w:rFonts w:ascii="Times New Roman"/>
                <w:b w:val="false"/>
                <w:i w:val="false"/>
                <w:color w:val="000000"/>
                <w:sz w:val="20"/>
              </w:rPr>
              <w:t>
3 600 тонн в 2021 году;</w:t>
            </w:r>
          </w:p>
          <w:bookmarkEnd w:id="101"/>
          <w:p>
            <w:pPr>
              <w:spacing w:after="20"/>
              <w:ind w:left="20"/>
              <w:jc w:val="both"/>
            </w:pPr>
            <w:r>
              <w:rPr>
                <w:rFonts w:ascii="Times New Roman"/>
                <w:b w:val="false"/>
                <w:i w:val="false"/>
                <w:color w:val="000000"/>
                <w:sz w:val="20"/>
              </w:rPr>
              <w:t>
7 200 тонн в 2022 году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Интер Мульти Сервис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2"/>
          <w:p>
            <w:pPr>
              <w:spacing w:after="20"/>
              <w:ind w:left="20"/>
              <w:jc w:val="both"/>
            </w:pPr>
            <w:r>
              <w:rPr>
                <w:rFonts w:ascii="Times New Roman"/>
                <w:b w:val="false"/>
                <w:i w:val="false"/>
                <w:color w:val="000000"/>
                <w:sz w:val="20"/>
              </w:rPr>
              <w:t>
26 000 тонн в 2021 году;</w:t>
            </w:r>
          </w:p>
          <w:bookmarkEnd w:id="102"/>
          <w:p>
            <w:pPr>
              <w:spacing w:after="20"/>
              <w:ind w:left="20"/>
              <w:jc w:val="both"/>
            </w:pPr>
            <w:r>
              <w:rPr>
                <w:rFonts w:ascii="Times New Roman"/>
                <w:b w:val="false"/>
                <w:i w:val="false"/>
                <w:color w:val="000000"/>
                <w:sz w:val="20"/>
              </w:rPr>
              <w:t>
40 000 тонн в 2022 году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Завод Гофротара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 город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КызылордаКагазы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город Кызылорда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Актауская бумажная компания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Мунайлинский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Лайбекова К.Ж.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 Сарыагашский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bl>
    <w:bookmarkStart w:name="z113" w:id="103"/>
    <w:p>
      <w:pPr>
        <w:spacing w:after="0"/>
        <w:ind w:left="0"/>
        <w:jc w:val="both"/>
      </w:pPr>
      <w:r>
        <w:rPr>
          <w:rFonts w:ascii="Times New Roman"/>
          <w:b w:val="false"/>
          <w:i w:val="false"/>
          <w:color w:val="000000"/>
          <w:sz w:val="28"/>
        </w:rPr>
        <w:t>
      Таблица 9 обеспечивает обзор предприятий, занимающихся утилизацией отходов картонно-бумажной упаковки в различных регионах Казахстана. Распределение мощностей по городам показывает, что утилизация данного типа отходов активно развивается, и предприятия стремятся к увеличению своей производственной способности.</w:t>
      </w:r>
    </w:p>
    <w:bookmarkEnd w:id="103"/>
    <w:bookmarkStart w:name="z114" w:id="104"/>
    <w:p>
      <w:pPr>
        <w:spacing w:after="0"/>
        <w:ind w:left="0"/>
        <w:jc w:val="both"/>
      </w:pPr>
      <w:r>
        <w:rPr>
          <w:rFonts w:ascii="Times New Roman"/>
          <w:b w:val="false"/>
          <w:i w:val="false"/>
          <w:color w:val="000000"/>
          <w:sz w:val="28"/>
        </w:rPr>
        <w:t>
      Однако, несмотря на положительные тенденции, в некоторых регионах существует потребность в дополнительных усилиях и инвестициях для содействия развитию утилизации отходов картонно-бумажной упаковки. Это позволит дальше укреплять инфраструктуру переработки и создавать более устойчивые системы управления отходами на всей территории Казахстана.</w:t>
      </w:r>
    </w:p>
    <w:bookmarkEnd w:id="104"/>
    <w:bookmarkStart w:name="z115" w:id="105"/>
    <w:p>
      <w:pPr>
        <w:spacing w:after="0"/>
        <w:ind w:left="0"/>
        <w:jc w:val="left"/>
      </w:pPr>
      <w:r>
        <w:rPr>
          <w:rFonts w:ascii="Times New Roman"/>
          <w:b/>
          <w:i w:val="false"/>
          <w:color w:val="000000"/>
        </w:rPr>
        <w:t xml:space="preserve"> 1.2. Оценка текущего состояния управления коммунальными отходами в Житикаринском районе</w:t>
      </w:r>
    </w:p>
    <w:bookmarkEnd w:id="105"/>
    <w:bookmarkStart w:name="z116" w:id="106"/>
    <w:p>
      <w:pPr>
        <w:spacing w:after="0"/>
        <w:ind w:left="0"/>
        <w:jc w:val="both"/>
      </w:pPr>
      <w:r>
        <w:rPr>
          <w:rFonts w:ascii="Times New Roman"/>
          <w:b w:val="false"/>
          <w:i w:val="false"/>
          <w:color w:val="000000"/>
          <w:sz w:val="28"/>
        </w:rPr>
        <w:t>
      Согласно официальной статистической информации, публикуемой Бюро национальной статистики Агентства по стратегическому планированию и реформам Республики Казахстан, на территории Костанайской области деятельность по сбору и вывозу коммунальных отходов осуществляют деятельность 49 хозяйствующих субъектов различных форм собственности. В Житикаринском районе деятельность по сбору и вывозу коммунальных отходов осуществляют 3 (три) субъекта предпринимательства.</w:t>
      </w:r>
    </w:p>
    <w:bookmarkEnd w:id="106"/>
    <w:bookmarkStart w:name="z117" w:id="107"/>
    <w:p>
      <w:pPr>
        <w:spacing w:after="0"/>
        <w:ind w:left="0"/>
        <w:jc w:val="both"/>
      </w:pPr>
      <w:r>
        <w:rPr>
          <w:rFonts w:ascii="Times New Roman"/>
          <w:b w:val="false"/>
          <w:i w:val="false"/>
          <w:color w:val="000000"/>
          <w:sz w:val="28"/>
        </w:rPr>
        <w:t>
      На территории Житикаринского района Костанайской области имеются 6 (шесть) полигонов ТБО. Из них три полигона ТБО не соответствуют требованиям законодательства.</w:t>
      </w:r>
    </w:p>
    <w:bookmarkEnd w:id="107"/>
    <w:bookmarkStart w:name="z118" w:id="108"/>
    <w:p>
      <w:pPr>
        <w:spacing w:after="0"/>
        <w:ind w:left="0"/>
        <w:jc w:val="both"/>
      </w:pPr>
      <w:r>
        <w:rPr>
          <w:rFonts w:ascii="Times New Roman"/>
          <w:b w:val="false"/>
          <w:i w:val="false"/>
          <w:color w:val="000000"/>
          <w:sz w:val="28"/>
        </w:rPr>
        <w:t>
      Соответствуют требованиям законодательства 3(три) полигона ТБО, которые находятся под управлением ТОО "Соцсервис", ТОО "Джетыгарахимчистка" и ТОО "Шандыколь".</w:t>
      </w:r>
    </w:p>
    <w:bookmarkEnd w:id="108"/>
    <w:bookmarkStart w:name="z119" w:id="109"/>
    <w:p>
      <w:pPr>
        <w:spacing w:after="0"/>
        <w:ind w:left="0"/>
        <w:jc w:val="both"/>
      </w:pPr>
      <w:r>
        <w:rPr>
          <w:rFonts w:ascii="Times New Roman"/>
          <w:b w:val="false"/>
          <w:i w:val="false"/>
          <w:color w:val="000000"/>
          <w:sz w:val="28"/>
        </w:rPr>
        <w:t>
      Согласно данным статистики на начало 2023 года на территории города Житикара проживает 34 751 человек.</w:t>
      </w:r>
    </w:p>
    <w:bookmarkEnd w:id="109"/>
    <w:bookmarkStart w:name="z120" w:id="110"/>
    <w:p>
      <w:pPr>
        <w:spacing w:after="0"/>
        <w:ind w:left="0"/>
        <w:jc w:val="both"/>
      </w:pPr>
      <w:r>
        <w:rPr>
          <w:rFonts w:ascii="Times New Roman"/>
          <w:b w:val="false"/>
          <w:i w:val="false"/>
          <w:color w:val="000000"/>
          <w:sz w:val="28"/>
        </w:rPr>
        <w:t>
      По состоянию на 1 октября 2023 года в городе Житикара действует 2 (два) объекта размещения коммунальных отходов: ТОО "Соцсервис", ТОО "Джетыгарахимчистка".</w:t>
      </w:r>
    </w:p>
    <w:bookmarkEnd w:id="110"/>
    <w:bookmarkStart w:name="z121" w:id="111"/>
    <w:p>
      <w:pPr>
        <w:spacing w:after="0"/>
        <w:ind w:left="0"/>
        <w:jc w:val="left"/>
      </w:pPr>
      <w:r>
        <w:rPr>
          <w:rFonts w:ascii="Times New Roman"/>
          <w:b/>
          <w:i w:val="false"/>
          <w:color w:val="000000"/>
        </w:rPr>
        <w:t xml:space="preserve"> Полигон ТОО "Соцсервис"</w:t>
      </w:r>
    </w:p>
    <w:bookmarkEnd w:id="111"/>
    <w:bookmarkStart w:name="z122" w:id="112"/>
    <w:p>
      <w:pPr>
        <w:spacing w:after="0"/>
        <w:ind w:left="0"/>
        <w:jc w:val="both"/>
      </w:pPr>
      <w:r>
        <w:rPr>
          <w:rFonts w:ascii="Times New Roman"/>
          <w:b w:val="false"/>
          <w:i w:val="false"/>
          <w:color w:val="000000"/>
          <w:sz w:val="28"/>
        </w:rPr>
        <w:t>
      Назначение: захоронение, утилизация твердых бытовых и других производственных отходов</w:t>
      </w:r>
    </w:p>
    <w:bookmarkEnd w:id="112"/>
    <w:bookmarkStart w:name="z123" w:id="113"/>
    <w:p>
      <w:pPr>
        <w:spacing w:after="0"/>
        <w:ind w:left="0"/>
        <w:jc w:val="both"/>
      </w:pPr>
      <w:r>
        <w:rPr>
          <w:rFonts w:ascii="Times New Roman"/>
          <w:b w:val="false"/>
          <w:i w:val="false"/>
          <w:color w:val="000000"/>
          <w:sz w:val="28"/>
        </w:rPr>
        <w:t>
      Юридический адрес: Республика Казахстан, Костанайская область, город Житикара, улица Д.Асанбаева, 5А. В соответствии с актом на право временного возмездного долгосрочного землепользования на территории города Житикара Житикаринского района ТОО "Соцсервис" предоставлен 1 (один) городской полигон с кадастровым номером земельного участка 12-192-008-088 с правом временного возмездного долгосрочного землепользования (аренды) на земельный участок сроком на 48 лет до 04 марта 2063 года.</w:t>
      </w:r>
    </w:p>
    <w:bookmarkEnd w:id="113"/>
    <w:bookmarkStart w:name="z124" w:id="114"/>
    <w:p>
      <w:pPr>
        <w:spacing w:after="0"/>
        <w:ind w:left="0"/>
        <w:jc w:val="both"/>
      </w:pPr>
      <w:r>
        <w:rPr>
          <w:rFonts w:ascii="Times New Roman"/>
          <w:b w:val="false"/>
          <w:i w:val="false"/>
          <w:color w:val="000000"/>
          <w:sz w:val="28"/>
        </w:rPr>
        <w:t>
      Год ввода в эксплуатацию: 1963 год.</w:t>
      </w:r>
    </w:p>
    <w:bookmarkEnd w:id="114"/>
    <w:bookmarkStart w:name="z125" w:id="115"/>
    <w:p>
      <w:pPr>
        <w:spacing w:after="0"/>
        <w:ind w:left="0"/>
        <w:jc w:val="both"/>
      </w:pPr>
      <w:r>
        <w:rPr>
          <w:rFonts w:ascii="Times New Roman"/>
          <w:b w:val="false"/>
          <w:i w:val="false"/>
          <w:color w:val="000000"/>
          <w:sz w:val="28"/>
        </w:rPr>
        <w:t>
      Площадь полигона: 10,54 гектара, в том числе хозяйственно-бытовая зона - 0,5 гектара и зона складирования – 10,0 гектара.</w:t>
      </w:r>
    </w:p>
    <w:bookmarkEnd w:id="115"/>
    <w:bookmarkStart w:name="z126" w:id="116"/>
    <w:p>
      <w:pPr>
        <w:spacing w:after="0"/>
        <w:ind w:left="0"/>
        <w:jc w:val="both"/>
      </w:pPr>
      <w:r>
        <w:rPr>
          <w:rFonts w:ascii="Times New Roman"/>
          <w:b w:val="false"/>
          <w:i w:val="false"/>
          <w:color w:val="000000"/>
          <w:sz w:val="28"/>
        </w:rPr>
        <w:t>
      Мощность полигона: 1189112,3 м3 или 237822,5 тонн.</w:t>
      </w:r>
    </w:p>
    <w:bookmarkEnd w:id="116"/>
    <w:bookmarkStart w:name="z127" w:id="117"/>
    <w:p>
      <w:pPr>
        <w:spacing w:after="0"/>
        <w:ind w:left="0"/>
        <w:jc w:val="both"/>
      </w:pPr>
      <w:r>
        <w:rPr>
          <w:rFonts w:ascii="Times New Roman"/>
          <w:b w:val="false"/>
          <w:i w:val="false"/>
          <w:color w:val="000000"/>
          <w:sz w:val="28"/>
        </w:rPr>
        <w:t>
      Объем накопленных отходов: с 1963 года по 4 квартал 2023 года – 167 538,2 тонн.</w:t>
      </w:r>
    </w:p>
    <w:bookmarkEnd w:id="117"/>
    <w:bookmarkStart w:name="z128" w:id="118"/>
    <w:p>
      <w:pPr>
        <w:spacing w:after="0"/>
        <w:ind w:left="0"/>
        <w:jc w:val="both"/>
      </w:pPr>
      <w:r>
        <w:rPr>
          <w:rFonts w:ascii="Times New Roman"/>
          <w:b w:val="false"/>
          <w:i w:val="false"/>
          <w:color w:val="000000"/>
          <w:sz w:val="28"/>
        </w:rPr>
        <w:t>
      Таблица 10 Количество абонентов ТОО "Соцсервис"</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абонентов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организации (ТОО, АО, 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bl>
    <w:bookmarkStart w:name="z129" w:id="119"/>
    <w:p>
      <w:pPr>
        <w:spacing w:after="0"/>
        <w:ind w:left="0"/>
        <w:jc w:val="both"/>
      </w:pPr>
      <w:r>
        <w:rPr>
          <w:rFonts w:ascii="Times New Roman"/>
          <w:b w:val="false"/>
          <w:i w:val="false"/>
          <w:color w:val="000000"/>
          <w:sz w:val="28"/>
        </w:rPr>
        <w:t>
      Захоронение отходов ведется методом надвига, с последующим уплотнением и изоляцией инертным материалом (грунтом, золошлаковыми отходами) в соответствии с Правилами эксплуатации полигонов ТБО. Уплотнение, уложение на рабочей карте ТБО слоями до 0,5 метра, производится тяжелым бульдозером.</w:t>
      </w:r>
    </w:p>
    <w:bookmarkEnd w:id="119"/>
    <w:bookmarkStart w:name="z130" w:id="120"/>
    <w:p>
      <w:pPr>
        <w:spacing w:after="0"/>
        <w:ind w:left="0"/>
        <w:jc w:val="both"/>
      </w:pPr>
      <w:r>
        <w:rPr>
          <w:rFonts w:ascii="Times New Roman"/>
          <w:b w:val="false"/>
          <w:i w:val="false"/>
          <w:color w:val="000000"/>
          <w:sz w:val="28"/>
        </w:rPr>
        <w:t>
      Предприятие занимается приемом, сортировкой, временным хранением и захоронением отходов от населения и предприятия по договору. Очистка города Житикара является планово-регулярной, проводится по договорам и графикам, под контролем акимата и органов санэпиднадзора. Организация работ на полигоне определяется технологической схемой эксплуатации, определяющей последовательность выполнения работ, размещения площадей для складирования ТБО.</w:t>
      </w:r>
    </w:p>
    <w:bookmarkEnd w:id="120"/>
    <w:bookmarkStart w:name="z131" w:id="121"/>
    <w:p>
      <w:pPr>
        <w:spacing w:after="0"/>
        <w:ind w:left="0"/>
        <w:jc w:val="both"/>
      </w:pPr>
      <w:r>
        <w:rPr>
          <w:rFonts w:ascii="Times New Roman"/>
          <w:b w:val="false"/>
          <w:i w:val="false"/>
          <w:color w:val="000000"/>
          <w:sz w:val="28"/>
        </w:rPr>
        <w:t>
      Контейнеры по городу Житикара</w:t>
      </w:r>
    </w:p>
    <w:bookmarkEnd w:id="121"/>
    <w:bookmarkStart w:name="z132" w:id="122"/>
    <w:p>
      <w:pPr>
        <w:spacing w:after="0"/>
        <w:ind w:left="0"/>
        <w:jc w:val="both"/>
      </w:pPr>
      <w:r>
        <w:rPr>
          <w:rFonts w:ascii="Times New Roman"/>
          <w:b w:val="false"/>
          <w:i w:val="false"/>
          <w:color w:val="000000"/>
          <w:sz w:val="28"/>
        </w:rPr>
        <w:t>
      Количество – 196 единиц.</w:t>
      </w:r>
    </w:p>
    <w:bookmarkEnd w:id="122"/>
    <w:bookmarkStart w:name="z133" w:id="123"/>
    <w:p>
      <w:pPr>
        <w:spacing w:after="0"/>
        <w:ind w:left="0"/>
        <w:jc w:val="both"/>
      </w:pPr>
      <w:r>
        <w:rPr>
          <w:rFonts w:ascii="Times New Roman"/>
          <w:b w:val="false"/>
          <w:i w:val="false"/>
          <w:color w:val="000000"/>
          <w:sz w:val="28"/>
        </w:rPr>
        <w:t>
      Техническое состояние – нормальное.</w:t>
      </w:r>
    </w:p>
    <w:bookmarkEnd w:id="123"/>
    <w:bookmarkStart w:name="z134" w:id="124"/>
    <w:p>
      <w:pPr>
        <w:spacing w:after="0"/>
        <w:ind w:left="0"/>
        <w:jc w:val="both"/>
      </w:pPr>
      <w:r>
        <w:rPr>
          <w:rFonts w:ascii="Times New Roman"/>
          <w:b w:val="false"/>
          <w:i w:val="false"/>
          <w:color w:val="000000"/>
          <w:sz w:val="28"/>
        </w:rPr>
        <w:t>
      Таблица 14 Размещение контейнерных площадок для сбора твердых бытовых отходов ТОО "Соцсервис"</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5Б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11Г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4Б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13Б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2Б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9А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4А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6Б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1В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3А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16Б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10А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22А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24А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28Б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25А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5Б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20А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8А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24А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58А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10Б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4А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15А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18А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63Б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24А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22А/1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26А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28А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19Б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14В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9В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17А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22А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35А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3А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31А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26А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15Б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9А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 гектар</w:t>
            </w:r>
          </w:p>
        </w:tc>
      </w:tr>
    </w:tbl>
    <w:bookmarkStart w:name="z135" w:id="125"/>
    <w:p>
      <w:pPr>
        <w:spacing w:after="0"/>
        <w:ind w:left="0"/>
        <w:jc w:val="both"/>
      </w:pPr>
      <w:r>
        <w:rPr>
          <w:rFonts w:ascii="Times New Roman"/>
          <w:b w:val="false"/>
          <w:i w:val="false"/>
          <w:color w:val="000000"/>
          <w:sz w:val="28"/>
        </w:rPr>
        <w:t>
      Основное сооружение полигона участок складирования ТБО, занимает до 95% площади полигона (общая площадь 10,0 га). Участок складирования разбит на очереди эксплуатации (рабочие карты). Разбивка участка складирования на карты (очереди) выполняется с учетом рельефа местности.</w:t>
      </w:r>
    </w:p>
    <w:bookmarkEnd w:id="125"/>
    <w:bookmarkStart w:name="z136" w:id="126"/>
    <w:p>
      <w:pPr>
        <w:spacing w:after="0"/>
        <w:ind w:left="0"/>
        <w:jc w:val="both"/>
      </w:pPr>
      <w:r>
        <w:rPr>
          <w:rFonts w:ascii="Times New Roman"/>
          <w:b w:val="false"/>
          <w:i w:val="false"/>
          <w:color w:val="000000"/>
          <w:sz w:val="28"/>
        </w:rPr>
        <w:t>
      Таблица 11 Автотранспорт ТОО "Соцсервис"</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С41R13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Мусоровоз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3309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322171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37" w:id="127"/>
    <w:p>
      <w:pPr>
        <w:spacing w:after="0"/>
        <w:ind w:left="0"/>
        <w:jc w:val="both"/>
      </w:pPr>
      <w:r>
        <w:rPr>
          <w:rFonts w:ascii="Times New Roman"/>
          <w:b w:val="false"/>
          <w:i w:val="false"/>
          <w:color w:val="000000"/>
          <w:sz w:val="28"/>
        </w:rPr>
        <w:t>
      На балансе предприятия имеется 11 единиц транспорта из них: тракторный парк 2 (две) единицы, грузовые автомашины 9 (девять) единиц. Обработка транспорта (мойка) производиться на специальной площадке полигона ТБО, вода после мойки собирается в емкость и используется для полива отходов в жаркий период. Вода для мойки транспорта, берҰтся из скважины не питьевого назначения.</w:t>
      </w:r>
    </w:p>
    <w:bookmarkEnd w:id="127"/>
    <w:bookmarkStart w:name="z138" w:id="128"/>
    <w:p>
      <w:pPr>
        <w:spacing w:after="0"/>
        <w:ind w:left="0"/>
        <w:jc w:val="both"/>
      </w:pPr>
      <w:r>
        <w:rPr>
          <w:rFonts w:ascii="Times New Roman"/>
          <w:b w:val="false"/>
          <w:i w:val="false"/>
          <w:color w:val="000000"/>
          <w:sz w:val="28"/>
        </w:rPr>
        <w:t>
      Таблица 12 Реестр соответствия нормативным правовым актам по содержанию полигонов ТБО и управлению коммунальными отходами Полигон ТОО "Соцсервис"</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НОРМАТИВНО-ПРАВОВЫХ АКТОВ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ИСПОЛНЕНИЯ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СЗЗ от места хранения отходов (площадка) до территории жилой застройки, объектов производственного и коммунального назначения определяются установленными требованиями приказа исполняющего обязанности Министра здравоохранения Республики Казахстан от 11 января 2022 года № ҚР ДСМ-2 "Об утверждении Санитарных правил "Санитарно-эпидемиологические требования к санитарно-защитным зонам объектов, являющихся объектами воздействия на среду обитания и здоровье человека"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населенных пунктах (на территории жилищного фонда, организаций, культурно-массовых учреждений, зон отдыха) выделяют специальные площадки для размещения контейнеров для сбора отходов с подъездами для транспорта. Площадку устраивают с твердым покрытием и ограждают с трех сторон на высоту, исключающей возможность распространения (разноса) отходов ветром, но не менее 1,5 метра.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ТБО осуществляется своевременно. Сроки хранения отходов в контейнерах при температуре 0оС и ниже не более трех суток, при плюсовой температуре не более суток.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 полигона ТБО, свалки устраивает при выезде с полигона (организованной свалки) дезинфицирующую бетонную ванну для обеззараживания колес мусоровозов. Длину ванны предусматривают не менее 8 метров, ширину 3 метра, глубину 0,3 метра.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периметру всей территории полигона ТБО, свалки устраивают легкое ограждение, осушительную траншею глубиной более 2 метра, или земляной вал высотой не более 2 метра.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обезвреживании отходов потребления, используются печи (инсинераторы) указанные в пункте 40 настоящих Санитарных правил. Не принимается на полигон отходы потребления, для которых разработаны эффективные методы извлечения тяжелых металлов и веществ, радиоактивные отходы, нефтепродукты, подлежащие регенерации.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размещают с подветренной стороны от населенных пунктов с учетом ветров преобладающего направления, ниже мест водозаборов хозяйственно-питьевого водоснабжения по течению рек, ниже и за границами зон водозабора открытых водоемов, зимовальных ям, мест массового нереста и нагула рыб.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для полигона предусматриваются на отдельных, свободных от застройки, проветриваемых территориях, не затапливаемых ливневыми, талыми и паводковыми водами, которые допускают выполнение инженерных решений, исключающих загрязнение населенных пунктов и зон массового отдыха людей, хозяйственного водоснабжения, минеральных источников, открытых водоемов и подземных вод.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размещают на участках, где подземные воды залегают на глубине более 20 метров и перекрыты малопроницаемыми породами с коэффициентом фильтрации не более 10 метров в сутки. Основу дна полигона размещают не менее 4 метров от наивысшего основного стояния уровня подземных вод. Дно и стенки устраивают с гидроизоляцией.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 озеленение СЗЗ полигонов ТБО, свалок осуществляется в соответствии с Приказом № ҚР ДСМ-2.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размещать полигон на резервных территориях жилищного строительства, расширения производственных объектов, рекреационных зон, в долинах рек, балках, на участках с проседаниями почвы, в местах развития карстовых процессов, на территории залегания полезных ископаемых, в зоне питания подземных источников питьевой воды.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Наклон территории полигона в направлении населенных мест, производственных объектов, сельскохозяйственных угодий и водотоков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Территорию полигона делят на две зоны: зона складирования ТБО и зона размещения хозяйственно-бытовых объектов.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персонала полигонов предусматриваются помещения санитарно-бытового обслуживания. Комнату приема пищи как минимум оборудуют бытовым холодильником и раковиной для мытья посуды.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полигоне обеспечивают контроль состава и учет поступающих отходов, распределения отходов в работающей части полигона, технологического цикла по изоляции 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зеленой зоне полигона (по периметру) устраивают контрольные скважины для мониторинга влияния ТБО на грунтовые воды, одна из них выше полигона по потоку грунтовых вод, 1-2 скважины ниже полигона.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изолирующего материала используют шлаки и (или) отходы производств: известь, мел, соду, гипс, графит, асбоцемент, шифер.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обеззараживания отходов на полигоне используют методы полевого компостирования в буртах, для полигонов, принимающих менее 120000 м3 ТБО в год, применяют траншейную схему складирования ТБО. Траншеи имеют глубину 3-6 метров и ширину по верху 6-12 метров. Траншеи устраивают перпендикулярно направлению господствующих ветров.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исполняется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Правил управления коммунальными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коммунальных отходов осуществляется в соответствии с Требованиями к раздельному сбору отходов, в том числе к видам или группам (совокупности видов) отходов, подлежащих обязательному раздельному сбору с учетом технической, экономической и экологической целесообразности, утвержденными приказом исполняющего обязанности Министра экологии, геологии и природных ресурсов Республики Казахстан от 2 декабря 2021 года № 482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коммунальные отходы собираются раздельно, для каждой категории (фракции) отходов определяется своя периодичность вывоза.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пунктом 4 статьи 368 Кодекса субъекты предпринимательства, осуществляющие деятельность по транспортировке ТБО, при оказании соответствующих услуг соблюдают следующее: 1) использовать специально оборудованные транспортные средства, предназначенные для транспортировки ТБО.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(в том числе вывоз) твердых бытовых отходов должна осуществляться транспортными средствами, соответствующими требованиям настоящего Кодекса.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Исполняется</w:t>
            </w:r>
          </w:p>
        </w:tc>
      </w:tr>
    </w:tbl>
    <w:bookmarkStart w:name="z139" w:id="129"/>
    <w:p>
      <w:pPr>
        <w:spacing w:after="0"/>
        <w:ind w:left="0"/>
        <w:jc w:val="left"/>
      </w:pPr>
      <w:r>
        <w:rPr>
          <w:rFonts w:ascii="Times New Roman"/>
          <w:b/>
          <w:i w:val="false"/>
          <w:color w:val="000000"/>
        </w:rPr>
        <w:t xml:space="preserve"> Полигон ТОО "Джетыгарахимчистка"</w:t>
      </w:r>
    </w:p>
    <w:bookmarkEnd w:id="129"/>
    <w:bookmarkStart w:name="z140" w:id="130"/>
    <w:p>
      <w:pPr>
        <w:spacing w:after="0"/>
        <w:ind w:left="0"/>
        <w:jc w:val="both"/>
      </w:pPr>
      <w:r>
        <w:rPr>
          <w:rFonts w:ascii="Times New Roman"/>
          <w:b w:val="false"/>
          <w:i w:val="false"/>
          <w:color w:val="000000"/>
          <w:sz w:val="28"/>
        </w:rPr>
        <w:t>
      Юридический адрес: Костанайская область, город Житикара, улица Ленина, 110. Предприятие расположено на 2 (двух) производственных площадках, расположенных по адресу: Площадка № 1 – Костанайская область, город Житикара, улица Ленина, 110; Площадка № 2 – Костанайская область, город Житикара, район бывшего поселка "Пионерский". Договор об аренде земельного участка № 108 от 1 июля 2013 года. Право временного возмездного землепользования (аренды) на земельный участок до 25 марта 2057 года.</w:t>
      </w:r>
    </w:p>
    <w:bookmarkEnd w:id="130"/>
    <w:bookmarkStart w:name="z141" w:id="131"/>
    <w:p>
      <w:pPr>
        <w:spacing w:after="0"/>
        <w:ind w:left="0"/>
        <w:jc w:val="both"/>
      </w:pPr>
      <w:r>
        <w:rPr>
          <w:rFonts w:ascii="Times New Roman"/>
          <w:b w:val="false"/>
          <w:i w:val="false"/>
          <w:color w:val="000000"/>
          <w:sz w:val="28"/>
        </w:rPr>
        <w:t>
      Для обеспечения работы в состав предприятия входят следующие подразделения и участки, являющиеся основными источниками загрязнения атмосферы: Площадка № 1 – Цех химчистки; Площадка № 2 – Полигон ТБО</w:t>
      </w:r>
    </w:p>
    <w:bookmarkEnd w:id="131"/>
    <w:bookmarkStart w:name="z142" w:id="132"/>
    <w:p>
      <w:pPr>
        <w:spacing w:after="0"/>
        <w:ind w:left="0"/>
        <w:jc w:val="both"/>
      </w:pPr>
      <w:r>
        <w:rPr>
          <w:rFonts w:ascii="Times New Roman"/>
          <w:b w:val="false"/>
          <w:i w:val="false"/>
          <w:color w:val="000000"/>
          <w:sz w:val="28"/>
        </w:rPr>
        <w:t>
      Назначение захоронение и утилизация отходов ТБО</w:t>
      </w:r>
    </w:p>
    <w:bookmarkEnd w:id="132"/>
    <w:bookmarkStart w:name="z143" w:id="133"/>
    <w:p>
      <w:pPr>
        <w:spacing w:after="0"/>
        <w:ind w:left="0"/>
        <w:jc w:val="both"/>
      </w:pPr>
      <w:r>
        <w:rPr>
          <w:rFonts w:ascii="Times New Roman"/>
          <w:b w:val="false"/>
          <w:i w:val="false"/>
          <w:color w:val="000000"/>
          <w:sz w:val="28"/>
        </w:rPr>
        <w:t>
      Площадь полигона 9,84 гектар</w:t>
      </w:r>
    </w:p>
    <w:bookmarkEnd w:id="133"/>
    <w:bookmarkStart w:name="z144" w:id="134"/>
    <w:p>
      <w:pPr>
        <w:spacing w:after="0"/>
        <w:ind w:left="0"/>
        <w:jc w:val="both"/>
      </w:pPr>
      <w:r>
        <w:rPr>
          <w:rFonts w:ascii="Times New Roman"/>
          <w:b w:val="false"/>
          <w:i w:val="false"/>
          <w:color w:val="000000"/>
          <w:sz w:val="28"/>
        </w:rPr>
        <w:t>
      Объем накопленных отходов на 2022 год 20 000 тонн.</w:t>
      </w:r>
    </w:p>
    <w:bookmarkEnd w:id="134"/>
    <w:bookmarkStart w:name="z145" w:id="135"/>
    <w:p>
      <w:pPr>
        <w:spacing w:after="0"/>
        <w:ind w:left="0"/>
        <w:jc w:val="both"/>
      </w:pPr>
      <w:r>
        <w:rPr>
          <w:rFonts w:ascii="Times New Roman"/>
          <w:b w:val="false"/>
          <w:i w:val="false"/>
          <w:color w:val="000000"/>
          <w:sz w:val="28"/>
        </w:rPr>
        <w:t>
      Разрешение на эмиссии в окружающую среду для объектов I категории. Дата выдачи 13 сентября 2019 года.</w:t>
      </w:r>
    </w:p>
    <w:bookmarkEnd w:id="135"/>
    <w:bookmarkStart w:name="z146" w:id="136"/>
    <w:p>
      <w:pPr>
        <w:spacing w:after="0"/>
        <w:ind w:left="0"/>
        <w:jc w:val="both"/>
      </w:pPr>
      <w:r>
        <w:rPr>
          <w:rFonts w:ascii="Times New Roman"/>
          <w:b w:val="false"/>
          <w:i w:val="false"/>
          <w:color w:val="000000"/>
          <w:sz w:val="28"/>
        </w:rPr>
        <w:t>
      Таблица 13 Нормативы размещения отходов потребления полигона ТБО ТОО "Джетыгарахимчистка"</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размещения отходов потребления на 2021-2028 годы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т/год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т/год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сторонним организациям, т/год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29050</w:t>
            </w:r>
          </w:p>
        </w:tc>
      </w:tr>
    </w:tbl>
    <w:bookmarkStart w:name="z147" w:id="137"/>
    <w:p>
      <w:pPr>
        <w:spacing w:after="0"/>
        <w:ind w:left="0"/>
        <w:jc w:val="both"/>
      </w:pPr>
      <w:r>
        <w:rPr>
          <w:rFonts w:ascii="Times New Roman"/>
          <w:b w:val="false"/>
          <w:i w:val="false"/>
          <w:color w:val="000000"/>
          <w:sz w:val="28"/>
        </w:rPr>
        <w:t>
      Согласно данным с ПНРО объектов управления коммунальными отходами Житикаринского района "Передача сторонним организациям, т/год" является планируемым объемом отходов временного складирования для последующей передачи спецорганизациям.</w:t>
      </w:r>
    </w:p>
    <w:bookmarkEnd w:id="137"/>
    <w:bookmarkStart w:name="z148" w:id="138"/>
    <w:p>
      <w:pPr>
        <w:spacing w:after="0"/>
        <w:ind w:left="0"/>
        <w:jc w:val="both"/>
      </w:pPr>
      <w:r>
        <w:rPr>
          <w:rFonts w:ascii="Times New Roman"/>
          <w:b w:val="false"/>
          <w:i w:val="false"/>
          <w:color w:val="000000"/>
          <w:sz w:val="28"/>
        </w:rPr>
        <w:t>
      Полигон ТБО в Житикаре в 2021-2028 годах планирует формирование 35000 тонн отходов в год, из которых 5950 тонн размещается на полигоне, а 29050 тонны передаются сторонним организациям ежегодно.</w:t>
      </w:r>
    </w:p>
    <w:bookmarkEnd w:id="138"/>
    <w:bookmarkStart w:name="z149" w:id="139"/>
    <w:p>
      <w:pPr>
        <w:spacing w:after="0"/>
        <w:ind w:left="0"/>
        <w:jc w:val="both"/>
      </w:pPr>
      <w:r>
        <w:rPr>
          <w:rFonts w:ascii="Times New Roman"/>
          <w:b w:val="false"/>
          <w:i w:val="false"/>
          <w:color w:val="000000"/>
          <w:sz w:val="28"/>
        </w:rPr>
        <w:t>
      Таблица 14 Реестр соответствия нормативно правовым актам по содержанию полигонов ТБО и управлению коммунальными отходами Полигон ТОО "Джетыгарахимчистка"</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НОРМАТИВНО-ПРАВОВЫХ АКТОВ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ИСПОЛНЕНИЯ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СЗЗ от места хранения отходов (площадка) до территории жилой застройки, объектов производственного и коммунального назначения определяются установленными требованиями приказа исполняющего обязанности Министра здравоохранения Республики Казахстан от 11 января 2022 года № ҚР ДСМ-2 "Об утверждении Санитарных правил "Санитарно-эпидемиологические требования к санитарно-защитным зонам объектов, являющихся объектами воздействия на среду обитания и здоровье человека".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населенных пунктах (на территории жилищного фонда, организаций, культурно-массовых учреждений, зон отдыха) выделяют специальные площадки для размещения контейнеров для сбора отходов с подъездами для транспорта. Площадку устраивают с твердым покрытием и ограждают с трех сторон на высоту, исключающую возможность распространения (разноса) отходов ветром, но не менее 1,5 метров.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ТБО осуществляется своевременно. Сроки хранения отходов в контейнерах при температуре 0оС и ниже не более трех суток, при плюсовой температуре не более одних суток.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 полигона ТБО, свалки устраивает при выезде с полигона (организованной свалки) дезинфицирующую бетонную ванну для обеззараживания колес мусоровозов. Длину ванны предусматривают не менее 8 метров, ширину 3 метра, глубину 0,3 метра.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периметру всей территории полигона ТБО, свалки устраивают легкое ограждение, осушительную траншею глубиной более 2 метра, или земляной вал высотой не более 2 метра.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обезвреживании отходов потребления, используются печи (инсинераторы) указанные в пункте 40 настоящих Санитарных правил. Не принимается на полигон отходы потребления, для которых разработаны эффективные методы извлечения тяжелых металлов и веществ, радиоактивные отходы, нефтепродукты, подлежащие регенерации.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размещают с подветренной стороны от населенных пунктов с учетом ветров преобладающего направления, ниже мест водозаборов хозяйственно-питьевого водоснабжения по течению рек, ниже и за границами зон водозабора открытых водоемов, зимовальных ям, мест массового нереста и нагула рыб.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для полигона предусматриваются на отдельных, свободных от застройки, проветриваемых территориях, не затапливаемых ливневыми, талыми и паводковыми водами, которые допускают выполнение инженерных решений, исключающих загрязнение населенных пунктов и зон массового отдыха людей, хозяйственного водоснабжения, минеральных источников, открытых водоемов и подземных вод.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размещают на участках, где подземные воды залегают на глубине более 20 метров и перекрыты малопроницаемыми породами с коэффициентом фильтрации не более 10 метров в сутки. Основу дна полигона размещают не менее 4 метров от наивысшего основного стояния уровня подземных вод. Дно и стенки устраивают с гидроизоляцией.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 озеленение СЗЗ полигонов ТБО, свалок осуществляется в соответствии с Приказом № ҚР ДСМ-2.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размещать полигон на резервных территориях жилищного строительства, расширения производственных объектов, рекреационных зон, в долинах рек, балках, на участках с проседаниями почвы, в местах развития карстовых процессов, на территории залегания полезных ископаемых, в зоне питания подземных источников питьевой воды.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Наклон территории полигона в направлении населенных мест, производственных объектов, сельскохозяйственных угодий и водотоков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Территорию полигона делят на две зоны: зона складирования ТБО и зона размещения хозяйственно-бытовых объектов.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персонала полигонов предусматриваются помещения санитарно-бытового обслуживания. Комнату приема пищи как минимум оборудуют бытовым холодильником и раковиной для мытья посуды.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полигоне обеспечивают контроль состава и учет поступающих отходов, распределения отходов в работающей части полигона, технологического цикла по изоляции 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зеленой зоне полигона (по периметру) устраивают контрольные скважины для мониторинга влияния ТБО на грунтовые воды, одна из них выше полигона по потоку грунтовых вод, 1-2 скважины ниже полигона.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изолирующего материала используют шлаки и (или) отходы производств: известь, мел, соду, гипс, графит, асбоцемент, шифер.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обеззараживания отходов на полигоне используют методы полевого компостирования в буртах, для полигонов, принимающих менее 120000 м3 ТБО в год, применяют траншейную схему складирования ТБО. Траншеи имеют глубину 3-6 метров и ширину по верху 6-12 метров. Траншеи устраивают перпендикулярно направлению господствующих ветров.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исполняется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Правил управления коммунальными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коммунальных отходов осуществляется в соответствии с Требованиями к раздельному сбору отходов, в том числе к видам или группам (совокупности видов) отходов, подлежащих обязательному раздельному сбору с учетом технической, экономической и экологической целесообразности, утвержденными приказом исполняющего обязанности Министра экологии, геологии и природных ресурсов Республики Казахстан от 2 декабря 2021 года № 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коммунальные отходы собираются раздельно, для каждой категории (фракции) отходов определяется своя периодичность вывоза.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пунктом 4 статьи 368 Кодекса субъекты предпринимательства, осуществляющие деятельность по транспортировке ТБО, при оказании соответствующих услуг соблюдают следующее: использовать специально оборудованные транспортные средства, предназначенные для транспортировки ТБО;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(в том числе вывоз) твердых бытовых отходов должна осуществляться транспортными средствами, соответствующими требованиям настоящего Кодекса.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Исполняется</w:t>
            </w:r>
          </w:p>
        </w:tc>
      </w:tr>
    </w:tbl>
    <w:bookmarkStart w:name="z150" w:id="140"/>
    <w:p>
      <w:pPr>
        <w:spacing w:after="0"/>
        <w:ind w:left="0"/>
        <w:jc w:val="left"/>
      </w:pPr>
      <w:r>
        <w:rPr>
          <w:rFonts w:ascii="Times New Roman"/>
          <w:b/>
          <w:i w:val="false"/>
          <w:color w:val="000000"/>
        </w:rPr>
        <w:t xml:space="preserve"> Полигон ТОО "Шандыколь"</w:t>
      </w:r>
    </w:p>
    <w:bookmarkEnd w:id="140"/>
    <w:bookmarkStart w:name="z151" w:id="141"/>
    <w:p>
      <w:pPr>
        <w:spacing w:after="0"/>
        <w:ind w:left="0"/>
        <w:jc w:val="both"/>
      </w:pPr>
      <w:r>
        <w:rPr>
          <w:rFonts w:ascii="Times New Roman"/>
          <w:b w:val="false"/>
          <w:i w:val="false"/>
          <w:color w:val="000000"/>
          <w:sz w:val="28"/>
        </w:rPr>
        <w:t>
      Юридический адрес: Костанайская область, Житикаринский район, Милютинскийс.о., с.Милютинка.</w:t>
      </w:r>
    </w:p>
    <w:bookmarkEnd w:id="141"/>
    <w:bookmarkStart w:name="z152" w:id="142"/>
    <w:p>
      <w:pPr>
        <w:spacing w:after="0"/>
        <w:ind w:left="0"/>
        <w:jc w:val="both"/>
      </w:pPr>
      <w:r>
        <w:rPr>
          <w:rFonts w:ascii="Times New Roman"/>
          <w:b w:val="false"/>
          <w:i w:val="false"/>
          <w:color w:val="000000"/>
          <w:sz w:val="28"/>
        </w:rPr>
        <w:t>
      Назначение утилизация твердых бытовых отходов</w:t>
      </w:r>
    </w:p>
    <w:bookmarkEnd w:id="142"/>
    <w:bookmarkStart w:name="z153" w:id="143"/>
    <w:p>
      <w:pPr>
        <w:spacing w:after="0"/>
        <w:ind w:left="0"/>
        <w:jc w:val="both"/>
      </w:pPr>
      <w:r>
        <w:rPr>
          <w:rFonts w:ascii="Times New Roman"/>
          <w:b w:val="false"/>
          <w:i w:val="false"/>
          <w:color w:val="000000"/>
          <w:sz w:val="28"/>
        </w:rPr>
        <w:t>
      Площадь полигона 3,0 га</w:t>
      </w:r>
    </w:p>
    <w:bookmarkEnd w:id="143"/>
    <w:bookmarkStart w:name="z154" w:id="144"/>
    <w:p>
      <w:pPr>
        <w:spacing w:after="0"/>
        <w:ind w:left="0"/>
        <w:jc w:val="both"/>
      </w:pPr>
      <w:r>
        <w:rPr>
          <w:rFonts w:ascii="Times New Roman"/>
          <w:b w:val="false"/>
          <w:i w:val="false"/>
          <w:color w:val="000000"/>
          <w:sz w:val="28"/>
        </w:rPr>
        <w:t>
      Объем накопленных отходов на 2022 год 7 534 тонны.</w:t>
      </w:r>
    </w:p>
    <w:bookmarkEnd w:id="144"/>
    <w:bookmarkStart w:name="z155" w:id="145"/>
    <w:p>
      <w:pPr>
        <w:spacing w:after="0"/>
        <w:ind w:left="0"/>
        <w:jc w:val="both"/>
      </w:pPr>
      <w:r>
        <w:rPr>
          <w:rFonts w:ascii="Times New Roman"/>
          <w:b w:val="false"/>
          <w:i w:val="false"/>
          <w:color w:val="000000"/>
          <w:sz w:val="28"/>
        </w:rPr>
        <w:t>
      Полигон ТБО. Расчетный срок эксплуатации полигона 48 лет. Вместимость полигона составляет 21324,7 тонн. Полигон ТБО организован в 2008 году, в 2012 году деятельность полигона была приостановлена. На полигоне ТОО "Шандыколь" с 2012 года размещения и захоронения отходов не производилось.</w:t>
      </w:r>
    </w:p>
    <w:bookmarkEnd w:id="145"/>
    <w:bookmarkStart w:name="z156" w:id="146"/>
    <w:p>
      <w:pPr>
        <w:spacing w:after="0"/>
        <w:ind w:left="0"/>
        <w:jc w:val="both"/>
      </w:pPr>
      <w:r>
        <w:rPr>
          <w:rFonts w:ascii="Times New Roman"/>
          <w:b w:val="false"/>
          <w:i w:val="false"/>
          <w:color w:val="000000"/>
          <w:sz w:val="28"/>
        </w:rPr>
        <w:t>
      Полигон ТБО предназначен для складирования твердо бытовых отходов от всех площадок предприятия ТОО "Шандыколь", а также от сторонних предприятий и населения села Милютинка и села Шевченковка, Большевистского сельского округа.</w:t>
      </w:r>
    </w:p>
    <w:bookmarkEnd w:id="146"/>
    <w:bookmarkStart w:name="z157" w:id="147"/>
    <w:p>
      <w:pPr>
        <w:spacing w:after="0"/>
        <w:ind w:left="0"/>
        <w:jc w:val="both"/>
      </w:pPr>
      <w:r>
        <w:rPr>
          <w:rFonts w:ascii="Times New Roman"/>
          <w:b w:val="false"/>
          <w:i w:val="false"/>
          <w:color w:val="000000"/>
          <w:sz w:val="28"/>
        </w:rPr>
        <w:t>
      Таблица 15 Нормативы размещения отходов потребления полигона ТБО ТОО "Шандыколь"</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размещения отходов потребления на 2018-2026 годы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тонн/год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тонн/год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сторонним организациям, тонн/год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78,5944</w:t>
            </w:r>
          </w:p>
        </w:tc>
      </w:tr>
    </w:tbl>
    <w:bookmarkStart w:name="z158" w:id="148"/>
    <w:p>
      <w:pPr>
        <w:spacing w:after="0"/>
        <w:ind w:left="0"/>
        <w:jc w:val="both"/>
      </w:pPr>
      <w:r>
        <w:rPr>
          <w:rFonts w:ascii="Times New Roman"/>
          <w:b w:val="false"/>
          <w:i w:val="false"/>
          <w:color w:val="000000"/>
          <w:sz w:val="28"/>
        </w:rPr>
        <w:t>
      Полигон ТБО в селе Милютинка в 2018-2026 годах планирует формирование 462,32 тонн отходов в год, из которых 383,7256 тонн размещается на полигоне, а 78,5944 тонны передаются сторонним организациям ежегодно.</w:t>
      </w:r>
    </w:p>
    <w:bookmarkEnd w:id="148"/>
    <w:bookmarkStart w:name="z159" w:id="149"/>
    <w:p>
      <w:pPr>
        <w:spacing w:after="0"/>
        <w:ind w:left="0"/>
        <w:jc w:val="both"/>
      </w:pPr>
      <w:r>
        <w:rPr>
          <w:rFonts w:ascii="Times New Roman"/>
          <w:b w:val="false"/>
          <w:i w:val="false"/>
          <w:color w:val="000000"/>
          <w:sz w:val="28"/>
        </w:rPr>
        <w:t>
      Таблица 16 Реестр соответствия нормативно правовым актам по содержанию полигонов ТБО и управлению коммунальными отходами Полигон ТОО "Шандыколь".</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НОРМАТИВНО-ПРАВОВЫХ АКТОВ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ИСПОЛНЕНИЯ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СЗЗ от места хранения отходов (площадка) до территории жилой застройки, объектов производственного и коммунального назначения определяются установленными требованиями приказа исполняющего обязанности Министра здравоохранения Республики Казахстан от 11 января 2022 года № ҚР ДСМ-2 "Об утверждении Санитарных правил "Санитарно-эпидемиологические требования к санитарно-защитным зонам объектов, являющихся объектами воздействия на среду обитания и здоровье человека."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населенных пунктах (на территории жилищного фонда, организаций, культурно-массовых учреждений, зон отдыха) выделяют специальные площадки для размещения контейнеров для сбора отходов с подъездами для транспорта. Площадку устраивают с твердым покрытием и ограждают с трех сторон на высоту, исключающую возможность распространения (разноса) отходов ветром, но не менее 1,5 метров.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ТБО осуществляется своевременно. Сроки хранения отходов в контейнерах при температуре 0оС и ниже не более трех суток, при плюсовой температуре не более суток.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 полигона ТБО, свалки устраивает при выезде с полигона (организованной свалки) дезинфицирующую бетонную ванну для обеззараживания колес мусоровозов. Длину ванны предусматривают не менее 8 метров, ширину 3 метра, глубину 0,3 метра.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периметру всей территории полигона ТБО, свалки устраивают легкое ограждение, осушительную траншею глубиной более 2 метров, или земляной вал высотой не более 2 метров.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обезвреживании отходов потребления, используются печи (инсинераторы) указанные в пункте 40 настоящих Санитарных правил. Не принимается на полигон отходы потребления, для которых разработаны эффективные методы извлечения тяжелых металлов и веществ, радиоактивные отходы, нефтепродукты, подлежащие регенерации.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размещают с подветренной стороны от населенных пунктов с учетом ветров преобладающего направления, ниже мест водозаборов хозяйственно-питьевого водоснабжения по течению рек, ниже и за границами зон водозабора открытых водоемов, зимовальных ям, мест массового нереста и нагула рыб.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для полигона предусматриваются на отдельных, свободных от застройки, проветриваемых территориях, не затапливаемых ливневыми, талыми и паводковыми водами, которые допускают выполнение инженерных решений, исключающих загрязнение населенных пунктов и зон массового отдыха людей, хозяйственного водоснабжения, минеральных источников, открытых водоемов и подземных вод.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размещают на участках, где подземные воды залегают на глубине более 20 метров и перекрыты малопроницаемыми породами с коэффициентом фильтрации не более 10 метров в сутки. Основу дна полигона размещают не менее 4 метров от наивысшего основного стояния уровня подземных вод. Дно и стенки устраивают с гидроизоляцией.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 озеленение СЗЗ полигонов ТБО, свалок осуществляется в соответствии с Приказом № ҚР ДСМ-2.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размещать полигон на резервных территориях жилищного строительства, расширения производственных объектов, рекреационных зон, в долинах рек, балках, на участках с проседаниями почвы, в местах развития карстовых процессов, на территории залегания полезных ископаемых, в зоне питания подземных источников питьевой воды.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Наклон территории полигона в направлении населенных мест, производственных объектов, сельскохозяйственных угодий и водотоков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Территорию полигона делят на две зоны: зона складирования ТБО и зона размещения хозяйственно-бытовых объектов.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персонала полигонов предусматриваются помещения санитарно-бытового обслуживания. Комнату приема пищи как минимум оборудуют бытовым холодильником и раковиной для мытья посуды.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полигоне обеспечивают контроль состава и учет поступающих отходов, распределения отходов в работающей части полигона, технологического цикла по изоляции 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зеленой зоне полигона (по периметру) устраивают контрольные скважины для мониторинга влияния ТБО на грунтовые воды, одна из них выше полигона по потоку грунтовых вод, 1-2 скважины ниже полигона.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изолирующего материала используют шлаки и (или) отходы производств: известь, мел, соду, гипс, графит, асбоцемент, шифер.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обеззараживания отходов на полигоне используют методы полевого компостирования в буртах, для полигонов, принимающих менее 120000 м3 ТБО в год, применяют траншейную схему складирования ТБО. Траншеи имеют глубину 3-6 метров и ширину по верху 6-12 метров. Траншеи устраивают перпендикулярно направлению господствующих ветров.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исполняется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Правил управления коммунальными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коммунальных отходов осуществляется в соответствии с Требованиями к раздельному сбору отходов, в том числе к видам или группам (совокупности видов) отходов, подлежащих обязательному раздельному сбору с учетом технической, экономической и экологической целесообразности, утвержденными приказом исполняющего обязанности Министра экологии, геологии и природных ресурсов Республики Казахстан от 2 декабря 2021 года № 482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коммунальные отходы собираются раздельно, для каждой категории (фракции) отходов определяется своя периодичность вывоза.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пунктом 4 статьи 368 Кодекса субъекты предпринимательства, осуществляющие деятельность по транспортировке ТБО, при оказании соответствующих услуг соблюдают следующее: использовать специально оборудованные транспортные средства, предназначенные для транспортировки ТБО.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(в том числе вывоз) твердых бытовых отходов должна осуществляться транспортными средствами, соответствующими требованиям настоящего Кодекса.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50"/>
    <w:p>
      <w:pPr>
        <w:spacing w:after="0"/>
        <w:ind w:left="0"/>
        <w:jc w:val="left"/>
      </w:pPr>
      <w:r>
        <w:rPr>
          <w:rFonts w:ascii="Times New Roman"/>
          <w:b/>
          <w:i w:val="false"/>
          <w:color w:val="000000"/>
        </w:rPr>
        <w:t xml:space="preserve"> 1.2 Сведения о классификации отходов</w:t>
      </w:r>
    </w:p>
    <w:bookmarkEnd w:id="150"/>
    <w:bookmarkStart w:name="z161" w:id="151"/>
    <w:p>
      <w:pPr>
        <w:spacing w:after="0"/>
        <w:ind w:left="0"/>
        <w:jc w:val="both"/>
      </w:pPr>
      <w:r>
        <w:rPr>
          <w:rFonts w:ascii="Times New Roman"/>
          <w:b w:val="false"/>
          <w:i w:val="false"/>
          <w:color w:val="000000"/>
          <w:sz w:val="28"/>
        </w:rPr>
        <w:t>
      Твердые бытовые отходы. По химическому и морфологическому составу твердые бытовые отходы являются отходами жизнедеятельности населения и предприятий, состоящие в основном из пищевых, бумажных и текстильных продуктов. Согласно Методики по расчету выбросов загрязняющих веществ в атмосферу от полигонов твердых бытовых отходов (приложение № 17 к приказу Министра ООС РК от 18 апреля 2008 года № 100-п) состав твердых бытовых отходов представлен (%): пищевые отходы (35-45); бумага, картон (32-35); дерево (1-2); черный металлолом (3-4); цветной металлолом (0,5-1,5); текстиль (3-5); кости (1-2); стекло (2-3); кожа, резина (0,5-1); камни, штукатурка (0,5-1); пластмасса (3-4); прочее (1-2); отсев менее 15 мм (5-7).</w:t>
      </w:r>
    </w:p>
    <w:bookmarkEnd w:id="151"/>
    <w:bookmarkStart w:name="z162" w:id="152"/>
    <w:p>
      <w:pPr>
        <w:spacing w:after="0"/>
        <w:ind w:left="0"/>
        <w:jc w:val="both"/>
      </w:pPr>
      <w:r>
        <w:rPr>
          <w:rFonts w:ascii="Times New Roman"/>
          <w:b w:val="false"/>
          <w:i w:val="false"/>
          <w:color w:val="000000"/>
          <w:sz w:val="28"/>
        </w:rPr>
        <w:t>
      Золошлаковые отходы образуется при сжигании угля в печах и котельных частного сектора и предприятий. Согласно Методики разработки проектов нормативов предельного размещения отходов производства и потребления (приложение № 16 к приказу Министра ООС РК от 18 апреля 2008 года № 100-п) зола имеет следующий состав (%): SiO2 - 61,1; AI2O3 - 6,6; CaO - 4,3; MgO - 2,2; прочие - 5,8.</w:t>
      </w:r>
    </w:p>
    <w:bookmarkEnd w:id="152"/>
    <w:bookmarkStart w:name="z163" w:id="153"/>
    <w:p>
      <w:pPr>
        <w:spacing w:after="0"/>
        <w:ind w:left="0"/>
        <w:jc w:val="both"/>
      </w:pPr>
      <w:r>
        <w:rPr>
          <w:rFonts w:ascii="Times New Roman"/>
          <w:b w:val="false"/>
          <w:i w:val="false"/>
          <w:color w:val="000000"/>
          <w:sz w:val="28"/>
        </w:rPr>
        <w:t>
      Золошлаковые отходы подлежат захоронению на полигоне в полном объеме.</w:t>
      </w:r>
    </w:p>
    <w:bookmarkEnd w:id="153"/>
    <w:bookmarkStart w:name="z164" w:id="154"/>
    <w:p>
      <w:pPr>
        <w:spacing w:after="0"/>
        <w:ind w:left="0"/>
        <w:jc w:val="both"/>
      </w:pPr>
      <w:r>
        <w:rPr>
          <w:rFonts w:ascii="Times New Roman"/>
          <w:b w:val="false"/>
          <w:i w:val="false"/>
          <w:color w:val="000000"/>
          <w:sz w:val="28"/>
        </w:rPr>
        <w:t>
      Строительный мусор образуется после ремонта помещений. Согласно Методики разработки проектов нормативов предельного размещения отходов производства и потребления (приложение № 16 к приказу Министра ООС РК от 18.04.2008 года № 100-п) в состав отходов входят: остатки цемента - 10%, песок - 30%, бой керамической плитки - 5%, штукатурка - 55%. 2023-2027 годы - строительный мусор, принимаемый на полигон, складируется на площадках временного хранения для последующей передачи в спецорганизации, в целях их последующей утилизации, восстановления или переработки.</w:t>
      </w:r>
    </w:p>
    <w:bookmarkEnd w:id="154"/>
    <w:bookmarkStart w:name="z165" w:id="155"/>
    <w:p>
      <w:pPr>
        <w:spacing w:after="0"/>
        <w:ind w:left="0"/>
        <w:jc w:val="both"/>
      </w:pPr>
      <w:r>
        <w:rPr>
          <w:rFonts w:ascii="Times New Roman"/>
          <w:b w:val="false"/>
          <w:i w:val="false"/>
          <w:color w:val="000000"/>
          <w:sz w:val="28"/>
        </w:rPr>
        <w:t>
      Физические характеристики ТБО - нерастворимые, нелетучие, невзрывоопасные, твердые.</w:t>
      </w:r>
    </w:p>
    <w:bookmarkEnd w:id="155"/>
    <w:bookmarkStart w:name="z166" w:id="156"/>
    <w:p>
      <w:pPr>
        <w:spacing w:after="0"/>
        <w:ind w:left="0"/>
        <w:jc w:val="both"/>
      </w:pPr>
      <w:r>
        <w:rPr>
          <w:rFonts w:ascii="Times New Roman"/>
          <w:b w:val="false"/>
          <w:i w:val="false"/>
          <w:color w:val="000000"/>
          <w:sz w:val="28"/>
        </w:rPr>
        <w:t>
      Морфологический состав твердых бытовых отходов для временного складирования для последующей передачи спецорганизациям: 2023-2027 годы - 83% пищевые отходы (40%); бумага, картон (32%); стекло (2%); металлолом (5%); пластмасса (4%).</w:t>
      </w:r>
    </w:p>
    <w:bookmarkEnd w:id="156"/>
    <w:bookmarkStart w:name="z167" w:id="157"/>
    <w:p>
      <w:pPr>
        <w:spacing w:after="0"/>
        <w:ind w:left="0"/>
        <w:jc w:val="both"/>
      </w:pPr>
      <w:r>
        <w:rPr>
          <w:rFonts w:ascii="Times New Roman"/>
          <w:b w:val="false"/>
          <w:i w:val="false"/>
          <w:color w:val="000000"/>
          <w:sz w:val="28"/>
        </w:rPr>
        <w:t>
      Морфологический состав твердых бытовых отходов для захоронения: 2023-2027 годы 17% - дерево (2%); текстиль (3%); кости (2%); кожа, резина (0,5%); камни, штукатурка (0,5%); прочее (2%); отсев (7%).</w:t>
      </w:r>
    </w:p>
    <w:bookmarkEnd w:id="157"/>
    <w:bookmarkStart w:name="z168" w:id="158"/>
    <w:p>
      <w:pPr>
        <w:spacing w:after="0"/>
        <w:ind w:left="0"/>
        <w:jc w:val="left"/>
      </w:pPr>
      <w:r>
        <w:rPr>
          <w:rFonts w:ascii="Times New Roman"/>
          <w:b/>
          <w:i w:val="false"/>
          <w:color w:val="000000"/>
        </w:rPr>
        <w:t xml:space="preserve"> 1.3. Основные проблемы в сфере управления коммунальными отходами</w:t>
      </w:r>
    </w:p>
    <w:bookmarkEnd w:id="158"/>
    <w:bookmarkStart w:name="z169" w:id="159"/>
    <w:p>
      <w:pPr>
        <w:spacing w:after="0"/>
        <w:ind w:left="0"/>
        <w:jc w:val="both"/>
      </w:pPr>
      <w:r>
        <w:rPr>
          <w:rFonts w:ascii="Times New Roman"/>
          <w:b w:val="false"/>
          <w:i w:val="false"/>
          <w:color w:val="000000"/>
          <w:sz w:val="28"/>
        </w:rPr>
        <w:t>
      В Житикаринском районе коммунальные отходы в основном, размещаются на полигонах ТБО, причем полигоны имеют небольшие размеры и поэтому недостаточно эффективны как с экономической, так и с природоохранной стороны.</w:t>
      </w:r>
    </w:p>
    <w:bookmarkEnd w:id="159"/>
    <w:bookmarkStart w:name="z170" w:id="160"/>
    <w:p>
      <w:pPr>
        <w:spacing w:after="0"/>
        <w:ind w:left="0"/>
        <w:jc w:val="both"/>
      </w:pPr>
      <w:r>
        <w:rPr>
          <w:rFonts w:ascii="Times New Roman"/>
          <w:b w:val="false"/>
          <w:i w:val="false"/>
          <w:color w:val="000000"/>
          <w:sz w:val="28"/>
        </w:rPr>
        <w:t>
      В районе деятельность по сбору и вывозу коммунальных отходов, осуществляет ТОО "Соцсервис", ИП "Пчелка" (на полигон ТОО "Джетыгарахимчиска"), и ТОО "Шандыколь" (мусоровывозящая компания МВК), при этом располагаемый автопарк в основном состоит из неспециализированных грузовых автомобилей. Значительная часть автопарка старые и сильно изношенные автомашины. Поэтому нередко до 50% автопарка находится в непригодном для эксплуатации состоянии (в ремонте). Современные специализированные мусоровозы с возможностью уплотнения транспортируемых твердых бытовых отходов в автопарке мусоровывозящих компаний отсутствуют. Сбор и вывоз ТБО осуществляется с привлечением 2 (двух) специализированных машин, для погрузки ТБО (погрузчик) и грузовой автомобиль для вывоза ТБО, что в свою очередь существенно увеличивает трудозатраты и повышенный расход энергетических ресурсов. Между тем, перевозка не спрессованных бытовых отходов (с плотностью 200-250 кг/м3) заметно увеличивает транспортные расходы.</w:t>
      </w:r>
    </w:p>
    <w:bookmarkEnd w:id="160"/>
    <w:bookmarkStart w:name="z171" w:id="161"/>
    <w:p>
      <w:pPr>
        <w:spacing w:after="0"/>
        <w:ind w:left="0"/>
        <w:jc w:val="both"/>
      </w:pPr>
      <w:r>
        <w:rPr>
          <w:rFonts w:ascii="Times New Roman"/>
          <w:b w:val="false"/>
          <w:i w:val="false"/>
          <w:color w:val="000000"/>
          <w:sz w:val="28"/>
        </w:rPr>
        <w:t>
      Также "слабым местом" являются дороги. В большинстве своем подъездные дороги к местам сбора ТБО отсутствуют, либо они слишком узкие и/или плохого качества, в зимний период их заносит снегом, и они становятся непроезжими.</w:t>
      </w:r>
    </w:p>
    <w:bookmarkEnd w:id="161"/>
    <w:bookmarkStart w:name="z172" w:id="162"/>
    <w:p>
      <w:pPr>
        <w:spacing w:after="0"/>
        <w:ind w:left="0"/>
        <w:jc w:val="both"/>
      </w:pPr>
      <w:r>
        <w:rPr>
          <w:rFonts w:ascii="Times New Roman"/>
          <w:b w:val="false"/>
          <w:i w:val="false"/>
          <w:color w:val="000000"/>
          <w:sz w:val="28"/>
        </w:rPr>
        <w:t>
      Ключевые проблемы системы обращения с коммунальными отходами Житикаринского района Костанайской области, выявленные в ходе проведения полевых исследований:</w:t>
      </w:r>
    </w:p>
    <w:bookmarkEnd w:id="162"/>
    <w:bookmarkStart w:name="z173" w:id="163"/>
    <w:p>
      <w:pPr>
        <w:spacing w:after="0"/>
        <w:ind w:left="0"/>
        <w:jc w:val="both"/>
      </w:pPr>
      <w:r>
        <w:rPr>
          <w:rFonts w:ascii="Times New Roman"/>
          <w:b w:val="false"/>
          <w:i w:val="false"/>
          <w:color w:val="000000"/>
          <w:sz w:val="28"/>
        </w:rPr>
        <w:t>
      низкий охват населения централизованной системой сбора и вывоза коммунальных отходов в районном центре, по оценочным данным охват населения составляет 64 %;</w:t>
      </w:r>
    </w:p>
    <w:bookmarkEnd w:id="163"/>
    <w:bookmarkStart w:name="z174" w:id="164"/>
    <w:p>
      <w:pPr>
        <w:spacing w:after="0"/>
        <w:ind w:left="0"/>
        <w:jc w:val="both"/>
      </w:pPr>
      <w:r>
        <w:rPr>
          <w:rFonts w:ascii="Times New Roman"/>
          <w:b w:val="false"/>
          <w:i w:val="false"/>
          <w:color w:val="000000"/>
          <w:sz w:val="28"/>
        </w:rPr>
        <w:t>
      за пределами районного центра система централизованного сбора и вывоза коммунальных отходов не организована.</w:t>
      </w:r>
    </w:p>
    <w:bookmarkEnd w:id="164"/>
    <w:bookmarkStart w:name="z175" w:id="165"/>
    <w:p>
      <w:pPr>
        <w:spacing w:after="0"/>
        <w:ind w:left="0"/>
        <w:jc w:val="both"/>
      </w:pPr>
      <w:r>
        <w:rPr>
          <w:rFonts w:ascii="Times New Roman"/>
          <w:b w:val="false"/>
          <w:i w:val="false"/>
          <w:color w:val="000000"/>
          <w:sz w:val="28"/>
        </w:rPr>
        <w:t>
      Согласно собранных статистических данных общее количество населения города составляет 35 299 тысяч человек, однако только 22 000 тысяч человек обслуживаются полигоном ТОО "Соцсервис".</w:t>
      </w:r>
    </w:p>
    <w:bookmarkEnd w:id="165"/>
    <w:bookmarkStart w:name="z176" w:id="166"/>
    <w:p>
      <w:pPr>
        <w:spacing w:after="0"/>
        <w:ind w:left="0"/>
        <w:jc w:val="both"/>
      </w:pPr>
      <w:r>
        <w:rPr>
          <w:rFonts w:ascii="Times New Roman"/>
          <w:b w:val="false"/>
          <w:i w:val="false"/>
          <w:color w:val="000000"/>
          <w:sz w:val="28"/>
        </w:rPr>
        <w:t xml:space="preserve">
      При том, что согласно пункта 3 </w:t>
      </w:r>
      <w:r>
        <w:rPr>
          <w:rFonts w:ascii="Times New Roman"/>
          <w:b w:val="false"/>
          <w:i w:val="false"/>
          <w:color w:val="000000"/>
          <w:sz w:val="28"/>
        </w:rPr>
        <w:t>статьи 367</w:t>
      </w:r>
      <w:r>
        <w:rPr>
          <w:rFonts w:ascii="Times New Roman"/>
          <w:b w:val="false"/>
          <w:i w:val="false"/>
          <w:color w:val="000000"/>
          <w:sz w:val="28"/>
        </w:rPr>
        <w:t xml:space="preserve"> Экологического Кодекса Республики Казахстан, физические лица, проживающие в жилых домах, обязаны пользоваться централизованной системой на основании публичных договоров и оплачивать услуги за транспортировку отходов согласно утвержденным местным представительным органом тарифам. Одной из ключевых проблем является нежелание части населения, проживающей в старой части города, заключать договора на оказание услуг по вывозу твердых бытовых отходов. Это отказ может быть связан с недостаточной осведомленностью об экологических и социальных последствиях отсутствия систематической утилизации отходов. Осведомительные кампании и образовательные мероприятия могут быть весьма полезны для изменения мнения этих граждан и поддержки формирования долгосрочных договорных отношений, у мусоровывозящих компаний отсутствуют актуальные сведения о количественном составе жителей дома или квартиры, что существенно затрудняет взимание платы, так как тарифы на сбор, вывоз ТБО утверждаются на 1 человека.</w:t>
      </w:r>
    </w:p>
    <w:bookmarkEnd w:id="166"/>
    <w:bookmarkStart w:name="z177" w:id="167"/>
    <w:p>
      <w:pPr>
        <w:spacing w:after="0"/>
        <w:ind w:left="0"/>
        <w:jc w:val="both"/>
      </w:pPr>
      <w:r>
        <w:rPr>
          <w:rFonts w:ascii="Times New Roman"/>
          <w:b w:val="false"/>
          <w:i w:val="false"/>
          <w:color w:val="000000"/>
          <w:sz w:val="28"/>
        </w:rPr>
        <w:t>
      Низкая собираемость и культура оплаты за оказываемые услуги за сбор, вывоз ТБО, отсутствие инструментов воздействия со стороны мусоровывозящих компаний в отношении должников, помимо судебных решений.</w:t>
      </w:r>
    </w:p>
    <w:bookmarkEnd w:id="167"/>
    <w:bookmarkStart w:name="z178" w:id="168"/>
    <w:p>
      <w:pPr>
        <w:spacing w:after="0"/>
        <w:ind w:left="0"/>
        <w:jc w:val="both"/>
      </w:pPr>
      <w:r>
        <w:rPr>
          <w:rFonts w:ascii="Times New Roman"/>
          <w:b w:val="false"/>
          <w:i w:val="false"/>
          <w:color w:val="000000"/>
          <w:sz w:val="28"/>
        </w:rPr>
        <w:t xml:space="preserve">
      Субъекты малого и микро бизнеса, не имеющих на праве собственности контейнерных площадок и контейнеров, не заключают договора с мусоровывозящими компаниями, вразрез положениям пункта 3 </w:t>
      </w:r>
      <w:r>
        <w:rPr>
          <w:rFonts w:ascii="Times New Roman"/>
          <w:b w:val="false"/>
          <w:i w:val="false"/>
          <w:color w:val="000000"/>
          <w:sz w:val="28"/>
        </w:rPr>
        <w:t>статьи 367</w:t>
      </w:r>
      <w:r>
        <w:rPr>
          <w:rFonts w:ascii="Times New Roman"/>
          <w:b w:val="false"/>
          <w:i w:val="false"/>
          <w:color w:val="000000"/>
          <w:sz w:val="28"/>
        </w:rPr>
        <w:t xml:space="preserve"> Экологического Кодекса Республики Казахстан.</w:t>
      </w:r>
    </w:p>
    <w:bookmarkEnd w:id="168"/>
    <w:bookmarkStart w:name="z179" w:id="169"/>
    <w:p>
      <w:pPr>
        <w:spacing w:after="0"/>
        <w:ind w:left="0"/>
        <w:jc w:val="both"/>
      </w:pPr>
      <w:r>
        <w:rPr>
          <w:rFonts w:ascii="Times New Roman"/>
          <w:b w:val="false"/>
          <w:i w:val="false"/>
          <w:color w:val="000000"/>
          <w:sz w:val="28"/>
        </w:rPr>
        <w:t>
      В настоящее время в Казахстане функционирует более 170 предприятий малого и среднего бизнеса по сортировке и переработке ТБО. В частности, на территории Костанайской области перерабатываются лишь картонно-бумажная упаковка, двумя хозяйствующими отходами в городе Лисаковск, что в целом не позволяет говорить об эффективности переработки и утилизации отходов. Удаленность объектов по переработке отдельных фракций ТБО не позволяет субъектам по сбору ТБО осуществлять доставку собранного вторсырья, поскольку значительные транспортные расходы ведут к убыточной деятельности, что также является одной из главных причин инвестиционной непривлекательности сектора.</w:t>
      </w:r>
    </w:p>
    <w:bookmarkEnd w:id="169"/>
    <w:bookmarkStart w:name="z180" w:id="170"/>
    <w:p>
      <w:pPr>
        <w:spacing w:after="0"/>
        <w:ind w:left="0"/>
        <w:jc w:val="both"/>
      </w:pPr>
      <w:r>
        <w:rPr>
          <w:rFonts w:ascii="Times New Roman"/>
          <w:b w:val="false"/>
          <w:i w:val="false"/>
          <w:color w:val="000000"/>
          <w:sz w:val="28"/>
        </w:rPr>
        <w:t>
      Низкая инвестиционная привлекательность, как основной сдерживающий фактор развития отрасли, также включает в себя недостаточные законодательные меры государственной поддержки. Очень важный аспект проблемы переработки и утилизации ТБО формирование рынков отходов и рынков изделий из отходов, что является основным ограничителем развития рециклинга.</w:t>
      </w:r>
    </w:p>
    <w:bookmarkEnd w:id="170"/>
    <w:bookmarkStart w:name="z181" w:id="171"/>
    <w:p>
      <w:pPr>
        <w:spacing w:after="0"/>
        <w:ind w:left="0"/>
        <w:jc w:val="both"/>
      </w:pPr>
      <w:r>
        <w:rPr>
          <w:rFonts w:ascii="Times New Roman"/>
          <w:b w:val="false"/>
          <w:i w:val="false"/>
          <w:color w:val="000000"/>
          <w:sz w:val="28"/>
        </w:rPr>
        <w:t>
      Развитию системы управления коммунальными отходами препятствует ряд барьеров, такие как финансово-экономические, культурно-информационные.</w:t>
      </w:r>
    </w:p>
    <w:bookmarkEnd w:id="171"/>
    <w:bookmarkStart w:name="z182" w:id="172"/>
    <w:p>
      <w:pPr>
        <w:spacing w:after="0"/>
        <w:ind w:left="0"/>
        <w:jc w:val="both"/>
      </w:pPr>
      <w:r>
        <w:rPr>
          <w:rFonts w:ascii="Times New Roman"/>
          <w:b w:val="false"/>
          <w:i w:val="false"/>
          <w:color w:val="000000"/>
          <w:sz w:val="28"/>
        </w:rPr>
        <w:t>
      Проблемы развития сектора обращения с ТБО и предлагаемые меры по их решению представлены в порядке приоритетности. Наиболее существенным барьером является недостаточное финансирование и отсутствие экономических стимулов к его развитию.</w:t>
      </w:r>
    </w:p>
    <w:bookmarkEnd w:id="172"/>
    <w:bookmarkStart w:name="z183" w:id="173"/>
    <w:p>
      <w:pPr>
        <w:spacing w:after="0"/>
        <w:ind w:left="0"/>
        <w:jc w:val="both"/>
      </w:pPr>
      <w:r>
        <w:rPr>
          <w:rFonts w:ascii="Times New Roman"/>
          <w:b w:val="false"/>
          <w:i w:val="false"/>
          <w:color w:val="000000"/>
          <w:sz w:val="28"/>
        </w:rPr>
        <w:t>
      Финансово-экономические барьеры обусловлены в первую очередь сложностями обеспечения устойчивого финансирования как гарантии возврата инвестиций. К таким барьерам можно отнести проблемы установления и регулирования тарифов и других платежей, связанных с отходами, а также отсутствие реальных экономических стимулов к развитию переработки.</w:t>
      </w:r>
    </w:p>
    <w:bookmarkEnd w:id="173"/>
    <w:bookmarkStart w:name="z184" w:id="174"/>
    <w:p>
      <w:pPr>
        <w:spacing w:after="0"/>
        <w:ind w:left="0"/>
        <w:jc w:val="both"/>
      </w:pPr>
      <w:r>
        <w:rPr>
          <w:rFonts w:ascii="Times New Roman"/>
          <w:b w:val="false"/>
          <w:i w:val="false"/>
          <w:color w:val="000000"/>
          <w:sz w:val="28"/>
        </w:rPr>
        <w:t>
      Сегодня основным источником компенсации затрат на вывоз и утилизацию ТБО являются платежи населения. Причем, совершенно очевидно, что существующие тарифы за обезвреживание бытовых отходов неадекватно низкие, и не способны покрывать даже затраты на захоронение отходов и их вывоз.</w:t>
      </w:r>
    </w:p>
    <w:bookmarkEnd w:id="174"/>
    <w:bookmarkStart w:name="z185" w:id="175"/>
    <w:p>
      <w:pPr>
        <w:spacing w:after="0"/>
        <w:ind w:left="0"/>
        <w:jc w:val="both"/>
      </w:pPr>
      <w:r>
        <w:rPr>
          <w:rFonts w:ascii="Times New Roman"/>
          <w:b w:val="false"/>
          <w:i w:val="false"/>
          <w:color w:val="000000"/>
          <w:sz w:val="28"/>
        </w:rPr>
        <w:t>
      Низкие тарифы в системе обращения с отходами, отсутствие каких-либо других дотаций делают не привлекательным участие инвесторов и бизнеса в предпринимательской деятельности отрасли. Данный вопрос является наиболее сложным для местных исполнительных и представительных органов, так как повышение тарифов, прежде всего для населения, рассматривается как социальный вопрос. При столь низком тарифе невозможно создание или увеличение сортировочных мощностей в регионах, а отсутствие сортировочных линий в регионе не позволяет реализовывать вступивший запрет на захоронение отдельных видов ТБО.</w:t>
      </w:r>
    </w:p>
    <w:bookmarkEnd w:id="175"/>
    <w:bookmarkStart w:name="z186" w:id="176"/>
    <w:p>
      <w:pPr>
        <w:spacing w:after="0"/>
        <w:ind w:left="0"/>
        <w:jc w:val="both"/>
      </w:pPr>
      <w:r>
        <w:rPr>
          <w:rFonts w:ascii="Times New Roman"/>
          <w:b w:val="false"/>
          <w:i w:val="false"/>
          <w:color w:val="000000"/>
          <w:sz w:val="28"/>
        </w:rPr>
        <w:t>
      Информационные барьеры выражаются в недостаточном осознании значимости качественного обращения с отходами самим обществом, вследствие чего спрос населения на услуги надлежащего качества фактически отсутствует. Реализация мер по эффективному обращению с отходами требует изменения отношений, как со стороны населения, так и со стороны местного исполнительного органа. Необходимо сформировать принципиально иную культуру отношения к отходам, выработать новые нормы и правила поведения.</w:t>
      </w:r>
    </w:p>
    <w:bookmarkEnd w:id="176"/>
    <w:bookmarkStart w:name="z187" w:id="177"/>
    <w:p>
      <w:pPr>
        <w:spacing w:after="0"/>
        <w:ind w:left="0"/>
        <w:jc w:val="left"/>
      </w:pPr>
      <w:r>
        <w:rPr>
          <w:rFonts w:ascii="Times New Roman"/>
          <w:b/>
          <w:i w:val="false"/>
          <w:color w:val="000000"/>
        </w:rPr>
        <w:t xml:space="preserve"> 2. ЦЕЛЬ, ЗАДАЧИ И ЦЕЛЕВЫЕ ПОКАЗАТЕЛИ</w:t>
      </w:r>
    </w:p>
    <w:bookmarkEnd w:id="177"/>
    <w:bookmarkStart w:name="z188" w:id="178"/>
    <w:p>
      <w:pPr>
        <w:spacing w:after="0"/>
        <w:ind w:left="0"/>
        <w:jc w:val="left"/>
      </w:pPr>
      <w:r>
        <w:rPr>
          <w:rFonts w:ascii="Times New Roman"/>
          <w:b/>
          <w:i w:val="false"/>
          <w:color w:val="000000"/>
        </w:rPr>
        <w:t xml:space="preserve"> Паспорт программы управления коммунальными отходами Житикаринского района Костанайской области</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управления коммунальными отходами Житикаринского района Костанайской области на 2024 – 2030 годы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по переходу Республики Казахстан к "зеленой экономике", утвержденная Указом Президента Республики Казахстан от 30 мая 2013 года № 577.</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мероприятий Правительства Республики Казахстан по реализации Концепции по переходу Республики Казахстан к "зеленой экономике" на 2021 – 2030 годы, утвержденного постановлением Правительства Республики Казахстан от 29 июля 2020 года № 479.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жилищно-коммунального хозяйства, пассажирского транспорта, автомобильных дорог и жилищной инспекции акиматаЖитикаринского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реализацию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жилищно-коммунального хозяйства, пассажирского транспорта, автомобильных дорог и жилищной инспекции акиматаЖитикаринского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надежности, экологической и социальной приемлемости комплекса услуг по сбору, транспортировке, утилизации, переработке и захоронению твердых бытовых отходов, увеличение доли переработки ТБО, а также обеспечение безопасного захоронения отходов.</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Определение единого оператора по сбору, транспортировке, сортировке и захоронению твердых бытовых отходов.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Организация системы централизованного сбора и транспортировки твердых бытовых отходов. Повсеместное внедрение раздельного сбора отходов у источника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Модернизация существующих и строительство новых полигонов малой мощности твердых бытовых отходов,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отвечающих современным требованиям санитарных правил со сложной инфраструктурой приема, сортировки и захоронения твердых бытовых отходов. Рекультивация стихийных свалок.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Повышение осведомленности и популяризация о системе раздельного сбора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 этапы реализации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годы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достижения основной целей Программы, планируется реализация следующих целевых индикаторов: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населения централизованным сбором, вывозом твердых бытовых отходов – 100 % к 2030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Санитарное хранение мусора – 95 % к 2030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Доля переработанных отходов – 40 % к 2030 году.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финансирование программы на 2024-2030 годы для Житикаринского района будет определено на основе детальных расчетов для каждого полигона. Фактические расчеты включают в себя оценку затрат, основанную на технико-экономическом обосновании (ТЭО) и других аналитических данных. Анализ проводится с учетом индивидуальных особенностей полигонов, обеспечивая оптимальное распределение бюджетных средств. Гибкость программы предусмотрена для адаптации к изменениям в условиях реализации и экономической обстановке.</w:t>
            </w:r>
          </w:p>
        </w:tc>
      </w:tr>
    </w:tbl>
    <w:bookmarkStart w:name="z189" w:id="179"/>
    <w:p>
      <w:pPr>
        <w:spacing w:after="0"/>
        <w:ind w:left="0"/>
        <w:jc w:val="left"/>
      </w:pPr>
      <w:r>
        <w:rPr>
          <w:rFonts w:ascii="Times New Roman"/>
          <w:b/>
          <w:i w:val="false"/>
          <w:color w:val="000000"/>
        </w:rPr>
        <w:t xml:space="preserve"> 2.1. Цель программы</w:t>
      </w:r>
    </w:p>
    <w:bookmarkEnd w:id="179"/>
    <w:bookmarkStart w:name="z190" w:id="180"/>
    <w:p>
      <w:pPr>
        <w:spacing w:after="0"/>
        <w:ind w:left="0"/>
        <w:jc w:val="both"/>
      </w:pPr>
      <w:r>
        <w:rPr>
          <w:rFonts w:ascii="Times New Roman"/>
          <w:b w:val="false"/>
          <w:i w:val="false"/>
          <w:color w:val="000000"/>
          <w:sz w:val="28"/>
        </w:rPr>
        <w:t>
      Программа управления коммунальными отходами нацелена на многогранные улучшения в области сбора, транспортировки, утилизации и захоронения ТБО. В первую очередь, программа стремится к повышению эффективности системы, внедряя оптимизированные процессы с целью снижения затрат и обеспечения общей эффективности. Дополнительно, акцент делается на обеспечении стабильности и надежности услуг, предоставляемых в рамках управления отходами.</w:t>
      </w:r>
    </w:p>
    <w:bookmarkEnd w:id="180"/>
    <w:bookmarkStart w:name="z191" w:id="181"/>
    <w:p>
      <w:pPr>
        <w:spacing w:after="0"/>
        <w:ind w:left="0"/>
        <w:jc w:val="both"/>
      </w:pPr>
      <w:r>
        <w:rPr>
          <w:rFonts w:ascii="Times New Roman"/>
          <w:b w:val="false"/>
          <w:i w:val="false"/>
          <w:color w:val="000000"/>
          <w:sz w:val="28"/>
        </w:rPr>
        <w:t>
      Важным аспектом программы является стремление к экологической и социальной приемлемости. Это включает внедрение экологически чистых технологий и активное вовлечение общественности через образовательные программы и поддержку социальных инициатив в сфере управления отходами. Одной из ключевых задач является увеличение доли переработки ТБО, что достигается развитием инфраструктуры для сортировки и переработки отходов.</w:t>
      </w:r>
    </w:p>
    <w:bookmarkEnd w:id="181"/>
    <w:bookmarkStart w:name="z192" w:id="182"/>
    <w:p>
      <w:pPr>
        <w:spacing w:after="0"/>
        <w:ind w:left="0"/>
        <w:jc w:val="both"/>
      </w:pPr>
      <w:r>
        <w:rPr>
          <w:rFonts w:ascii="Times New Roman"/>
          <w:b w:val="false"/>
          <w:i w:val="false"/>
          <w:color w:val="000000"/>
          <w:sz w:val="28"/>
        </w:rPr>
        <w:t>
      Наконец, программа стремится к обеспечению безопасного захоронения отходов. Это включает в себя соблюдение санитарных норм при захоронении и внедрение технологий, направленных на предотвращение загрязнения грунтовых вод. Общими усилиями в рамках программы предпринимаются шаги для создания устойчивой и ответственной системы обращения с коммунальными отходами, учитывая комплекс различных аспектов и интересов общества.</w:t>
      </w:r>
    </w:p>
    <w:bookmarkEnd w:id="182"/>
    <w:bookmarkStart w:name="z193" w:id="183"/>
    <w:p>
      <w:pPr>
        <w:spacing w:after="0"/>
        <w:ind w:left="0"/>
        <w:jc w:val="left"/>
      </w:pPr>
      <w:r>
        <w:rPr>
          <w:rFonts w:ascii="Times New Roman"/>
          <w:b/>
          <w:i w:val="false"/>
          <w:color w:val="000000"/>
        </w:rPr>
        <w:t xml:space="preserve"> 2.1. Задачи программы</w:t>
      </w:r>
    </w:p>
    <w:bookmarkEnd w:id="183"/>
    <w:bookmarkStart w:name="z194" w:id="184"/>
    <w:p>
      <w:pPr>
        <w:spacing w:after="0"/>
        <w:ind w:left="0"/>
        <w:jc w:val="left"/>
      </w:pPr>
      <w:r>
        <w:rPr>
          <w:rFonts w:ascii="Times New Roman"/>
          <w:b/>
          <w:i w:val="false"/>
          <w:color w:val="000000"/>
        </w:rPr>
        <w:t xml:space="preserve"> Задача 1. Определение единого оператора по сбору, транспортировке, сортировке и захоронению твердых бытовых отходов.</w:t>
      </w:r>
    </w:p>
    <w:bookmarkEnd w:id="184"/>
    <w:bookmarkStart w:name="z195" w:id="185"/>
    <w:p>
      <w:pPr>
        <w:spacing w:after="0"/>
        <w:ind w:left="0"/>
        <w:jc w:val="both"/>
      </w:pPr>
      <w:r>
        <w:rPr>
          <w:rFonts w:ascii="Times New Roman"/>
          <w:b w:val="false"/>
          <w:i w:val="false"/>
          <w:color w:val="000000"/>
          <w:sz w:val="28"/>
        </w:rPr>
        <w:t>
      Проведение конкурса ГЧП для выбора частного партнера по сбору, транспортировке, сортировке и захоронению твердых бытовых отходов.</w:t>
      </w:r>
    </w:p>
    <w:bookmarkEnd w:id="185"/>
    <w:bookmarkStart w:name="z196" w:id="186"/>
    <w:p>
      <w:pPr>
        <w:spacing w:after="0"/>
        <w:ind w:left="0"/>
        <w:jc w:val="left"/>
      </w:pPr>
      <w:r>
        <w:rPr>
          <w:rFonts w:ascii="Times New Roman"/>
          <w:b/>
          <w:i w:val="false"/>
          <w:color w:val="000000"/>
        </w:rPr>
        <w:t xml:space="preserve"> 1.1. Установка контейнерных площадок в СНП по годам</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Охватываемые села, города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Мусорные площадки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установления контейнерных площадок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Житикара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Пригородное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Дорожная – 2, улица 40 лет Победы – 2, улица Дачная – 1, улица Бейбітшілик – 1, улица Волынова – 1, улица Плеханова – 1, улица Достоевского – 2, улица 50 лет ВЛКСМ – 1, улица Степная – 1, улица Автомобилистов – 2, улица Энгельса – 1, улица Куйбышева – 1, улица Колесниченко – 1, улица Жданова – 1, улица Баймагамбетова – 1, улица 1 мая – 1, улица Алтынсарина – 1, улица Химиков – 1, улица Титова – 1, улица Мира – 5, улица Джангильдина – 1, улица Орджоникидзе – 2, улица Жақсы –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Ырсай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Новая – 1, улица Степная – 1, улица Степная 2 – 1, улица Комсомольская – 1, улица МолодҰжная – 1, улица Парковая – 1, улица Школьная – 1, улица Набережная –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Забеловка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Горького – 3, улица Джангильдина – 4, улица Левонабережная – 3, улица Правонабережная – 1, улица Ленина – 3, улица Победы – 2, улица Целинная – 3, улица Комсомольская – 8, улица Первомайская – 2, улица Новостроевская – 3, улица Механизаторская –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Милютинка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Рабочая – 2, улица Молодежная – 2, улица Комсомольская – 2, улица Школьная – 2, улица Новая –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Чайковское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Пионерская – 2, улица 40 лет Победы – 3, улица Школьная – 4, улица Набережная – 5, улица Мира – 4, улица Октябрьская –1, улица 20 лет Целины –2, улица Клубная – 1, улица Степная –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Тохтарово, Тохтаровского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Дорожная – 1, улица Лесная – 1, улица НовосҰлов – 1, улица Комсомольская – 2, улица Школьная – 2, улица Набережная – 1, улица Новая – 1, улица Амангельды –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Львовка, Тохтаровского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Центральная – 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Приречное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Степная – 1, улица Маковея – 1, улица Жакеева – 1, улица Набережная – 1, улица Пушкина – 1, улица Школьная – 1, улица Клубная – 1, улица Днепропетровская – 1, улица Абая – 1, улица Ленина – 1, улица Минская –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Тургеновка, Большевистского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Мира – 2, улица Комсомольская – 2, улица Целинная – 2, улица Набережная – 2, улица Спортивная – 1, улица Новая – 1, улица Строительная – 1, улица Байтурсынова – 1, улица ПМК – 1, улица А.Иманова – 1, улица Алтынсарина – 1, улица Абая – 1, улица 1-го Мая –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Степное, Степного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полощадь – 2, Школа – 2, Центральная столовая – 2, Центральный сквер –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Аккарга, Степного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Ленина –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Муктиколь, Муктикольского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Ленина – 1, улица Урожайная – 1, улица Торговая - 1.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Волгоградское, Муктикольского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Советская – 1, улица Украинская –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Шевченковка, Большевистского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Набережная – 1, улица Советская – 1, улица Молодежная – 1, улица Шевченко – 1, улица Симакова –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Хозрет, Большевистского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Центральная – 2, отделение Хозрет –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Кусакан, Большевистского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Центральная – 2, улица Элеваторная – 1, Новостройка –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Тасыбай, Большевистского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Центральная –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87"/>
    <w:p>
      <w:pPr>
        <w:spacing w:after="0"/>
        <w:ind w:left="0"/>
        <w:jc w:val="left"/>
      </w:pPr>
      <w:r>
        <w:rPr>
          <w:rFonts w:ascii="Times New Roman"/>
          <w:b/>
          <w:i w:val="false"/>
          <w:color w:val="000000"/>
        </w:rPr>
        <w:t xml:space="preserve"> Задача 2. Организация системы централизованного сбора и транспортировки твердых бытовых отходов. Повсеместное внедрение раздельного сбора отходов у источника образования.</w:t>
      </w:r>
    </w:p>
    <w:bookmarkEnd w:id="187"/>
    <w:bookmarkStart w:name="z198" w:id="188"/>
    <w:p>
      <w:pPr>
        <w:spacing w:after="0"/>
        <w:ind w:left="0"/>
        <w:jc w:val="both"/>
      </w:pPr>
      <w:r>
        <w:rPr>
          <w:rFonts w:ascii="Times New Roman"/>
          <w:b w:val="false"/>
          <w:i w:val="false"/>
          <w:color w:val="000000"/>
          <w:sz w:val="28"/>
        </w:rPr>
        <w:t>
      2.1. Обустройство 263 контейнерных площадок (с учетом 82 площадок в городе Житикара, 328 контейнеров для сухих отходов и 82 для мокрых отходов) в сельских населенных пунктах будет установлено 181 контейнерная площадка (181 контейнер для сухих отходов, 181 контейнер для мокрых отходов), в селе Забеловка 34 площадки, село Пригородное 32 площадки, село Тургеновка 17 площадок, село Чайковское 23 площадки, село Ырсай 8 площадок, село Тохтарово Тохтаровского сельского округа 10 площадок, село Милютинка 10 площадок, село Львовка Тохтаровского сельского округа 2 площадки, село Приречное 11 площадок, село Степное Степного сельского округа 8 площадок, село Аккарга Степного сельского округа 2 площадки, село Муктиколь Муктикольского сельского округа 3 площадки, село Волгоградское Муктикольского сельского округа 2 площадки, село Кусакан Большевистского сельского округа 4 площадки, село Шевченковка Большевистского сельского округа 5 площадок, село Хозрет Большевистского сельского округа 4 площадки, село Тасыбай Большевистского сельского округа 1 площадка.</w:t>
      </w:r>
    </w:p>
    <w:bookmarkEnd w:id="188"/>
    <w:bookmarkStart w:name="z199" w:id="189"/>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25 декабря 2020 года № ҚР ДСМ-331/2020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контейнеры для твердых бытовых отходов в населенных пунктах должны быть оборудованы крышками, установлены на площадках с твердым покрытием, ограждены с трех сторон не менее 1,5 метра в высоту, размещены на расстоянии не менее 25 метров от жилых и общественных зданий и подлежат комиссионному утверждению в случае сложной застройки.</w:t>
      </w:r>
    </w:p>
    <w:bookmarkEnd w:id="189"/>
    <w:bookmarkStart w:name="z200" w:id="190"/>
    <w:p>
      <w:pPr>
        <w:spacing w:after="0"/>
        <w:ind w:left="0"/>
        <w:jc w:val="both"/>
      </w:pPr>
      <w:r>
        <w:rPr>
          <w:rFonts w:ascii="Times New Roman"/>
          <w:b w:val="false"/>
          <w:i w:val="false"/>
          <w:color w:val="000000"/>
          <w:sz w:val="28"/>
        </w:rPr>
        <w:t>
      2.2. Приобретение транспорта для сбора и вывоза отходов 4 КамАЗа, 2 погрузчика и 1 бульдозер.</w:t>
      </w:r>
    </w:p>
    <w:bookmarkEnd w:id="190"/>
    <w:bookmarkStart w:name="z201" w:id="191"/>
    <w:p>
      <w:pPr>
        <w:spacing w:after="0"/>
        <w:ind w:left="0"/>
        <w:jc w:val="both"/>
      </w:pPr>
      <w:r>
        <w:rPr>
          <w:rFonts w:ascii="Times New Roman"/>
          <w:b w:val="false"/>
          <w:i w:val="false"/>
          <w:color w:val="000000"/>
          <w:sz w:val="28"/>
        </w:rPr>
        <w:t>
      Количество мусорных площадок было определено на основе стандартов накопления отходов в селе за трехдневный период. Определение количества транспортных средств проведено на основе данных аналогичных полигонов в стране.</w:t>
      </w:r>
    </w:p>
    <w:bookmarkEnd w:id="191"/>
    <w:bookmarkStart w:name="z202" w:id="192"/>
    <w:p>
      <w:pPr>
        <w:spacing w:after="0"/>
        <w:ind w:left="0"/>
        <w:jc w:val="both"/>
      </w:pPr>
      <w:r>
        <w:rPr>
          <w:rFonts w:ascii="Times New Roman"/>
          <w:b w:val="false"/>
          <w:i w:val="false"/>
          <w:color w:val="000000"/>
          <w:sz w:val="28"/>
        </w:rPr>
        <w:t>
      Таблица 17 План управления твердыми бытовыми отходами (ТБО) по сельским районам: распределение полигонов и охватываемых населенных пунктов</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Охватываемые села, города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пункты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образования отходов в год/м3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полигона,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Мусорные площадки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установления контейнерных площадок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Житикара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Чайковское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Пионерская – 2, улица 40 лет Победы – 3, улица Школьная – 4, улица Набережная – 5, улица Мира – 4, улица Октябрьская –1, улица 20 лет Целины – 2, улица Клубная – 1, улица Степная –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Забеловка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Горького – 3, улица Джангильдина – 4, улица Левонабережная – 3, улица Правонабережная – 1, улица Ленина – 3, улица Победы – 2, улица Целинная – 3, улица Комсомольская – 8, улица Первомайская – 2, улица Новостроевская – 3, улица Механизаторская –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Ырсай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Новая – 1, улица Степная – 1, улица Степная 2 – 1, улица Комсомольская – 1, улица МолодҰжная – 1, улица Парковая – 1, улица Школьная – 1, улица Набережная –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Пригородное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Дорожная – 2, улица 40 лет Победы – 2, улица Дачная – 1, улица Бейбітшілик – 1, улица Волынова – 1, улица Плеханова – 1, улица Достоевского – 2, улица 50 лет ВЛКСМ – 1, улица Степная – 1, улица Автомобилистов – 2, улица Энгельса – 1, улица Куйбышева – 1, улица Колесниченко – 1, улица Жданова – 1, улица Баймагамбетова – 1, улица 1 мая – 1, улица Алтынсарина – 1, улица Химиков – 1, улица Титова – 1, улица Мира – 5, улица Джангильдина – 1, улица Орджоникидзе – 2, улица Жақсы –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Тургеновка Большевистского сельского округа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Мира – 2, улица Комсомольская – 2, улица Целинная – 2, улица Набережная – 2, улица Спортивная – 1, ул. Новая – 1, улица Строительная – 1, улица Байтурсынова – 1, улица ПМК – 1, улица А.Иманова – 1, улица Алтынсарина – 1, улица Абая – 1, улица 1-го Мая –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Тохтарово Тохтаровского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Дорожная – 1, улица Лесная – 1, улица Новоселова – 1, улица Комсомольская – 2, улица Школьная – 2, улица Набережная – 1, улица Новая – 1, улица Амангельды –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Львовка Тохтаровского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Кусакан Большевистского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Центральная – 2, улица Элеваторная – 1, улица Новостройка –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Шевченковка Большевистского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Набережная – 1, улица Советская – 1, улица Молодежная – 1, улица Шевченко – 1, улица Симакова –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Хозрет Большевистского сельского округа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Центральная – 2, отделение Хозрет –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Тасыбай Большевистского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Центральная –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Милютинка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Рабочая – 2, улица Молодежная – 2, улица Комсомольская – 2, улица Школьная – 2, улица Новая - 2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Муктиколь Муктикольского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Ленина – 1, улица Урожайная – 1, улица Торговая - 1.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Волгоградское Муктикольского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Советская – 1, улица Украинская –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Степное Степного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Центральная площадь – 1, Школа – 1, Центральная столовая – 1, Центральный сквер –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Аккарга Степного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Ленина –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Приречное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Степная – 1, улица Маковея – 1, улица Жакеева – 1, улица Набережная – 1, улица Пушкина – 1, улица Школьная – 1, улица Клубная – 1, улица Днепропетровская – 1, улица Абая – 1, улица Ленина – 1, улица Минская –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93"/>
    <w:p>
      <w:pPr>
        <w:spacing w:after="0"/>
        <w:ind w:left="0"/>
        <w:jc w:val="left"/>
      </w:pPr>
      <w:r>
        <w:rPr>
          <w:rFonts w:ascii="Times New Roman"/>
          <w:b/>
          <w:i w:val="false"/>
          <w:color w:val="000000"/>
        </w:rPr>
        <w:t xml:space="preserve"> Задача 3. Модернизация существующих полигонов твердых бытовых отходов, отвечающих современным требованиям санитарных правил со сложной инфраструктурой приема, сортировки и захоронения твердых бытовых отходов. Рекультивация стихийных свалок.</w:t>
      </w:r>
    </w:p>
    <w:bookmarkEnd w:id="193"/>
    <w:bookmarkStart w:name="z204" w:id="194"/>
    <w:p>
      <w:pPr>
        <w:spacing w:after="0"/>
        <w:ind w:left="0"/>
        <w:jc w:val="both"/>
      </w:pPr>
      <w:r>
        <w:rPr>
          <w:rFonts w:ascii="Times New Roman"/>
          <w:b w:val="false"/>
          <w:i w:val="false"/>
          <w:color w:val="000000"/>
          <w:sz w:val="28"/>
        </w:rPr>
        <w:t>
      3.1. Ликвидация несанкционированных свалок.</w:t>
      </w:r>
    </w:p>
    <w:bookmarkEnd w:id="194"/>
    <w:bookmarkStart w:name="z205" w:id="195"/>
    <w:p>
      <w:pPr>
        <w:spacing w:after="0"/>
        <w:ind w:left="0"/>
        <w:jc w:val="both"/>
      </w:pPr>
      <w:r>
        <w:rPr>
          <w:rFonts w:ascii="Times New Roman"/>
          <w:b w:val="false"/>
          <w:i w:val="false"/>
          <w:color w:val="000000"/>
          <w:sz w:val="28"/>
        </w:rPr>
        <w:t>
      Ликвидация стихийных свалок по мере выявления в Житикаринском районе.</w:t>
      </w:r>
    </w:p>
    <w:bookmarkEnd w:id="195"/>
    <w:bookmarkStart w:name="z206" w:id="196"/>
    <w:p>
      <w:pPr>
        <w:spacing w:after="0"/>
        <w:ind w:left="0"/>
        <w:jc w:val="left"/>
      </w:pPr>
      <w:r>
        <w:rPr>
          <w:rFonts w:ascii="Times New Roman"/>
          <w:b/>
          <w:i w:val="false"/>
          <w:color w:val="000000"/>
        </w:rPr>
        <w:t xml:space="preserve"> Задача 4. Повышение осведомленности и популяризация о системе раздельного сбора отходов.</w:t>
      </w:r>
    </w:p>
    <w:bookmarkEnd w:id="196"/>
    <w:bookmarkStart w:name="z207" w:id="197"/>
    <w:p>
      <w:pPr>
        <w:spacing w:after="0"/>
        <w:ind w:left="0"/>
        <w:jc w:val="both"/>
      </w:pPr>
      <w:r>
        <w:rPr>
          <w:rFonts w:ascii="Times New Roman"/>
          <w:b w:val="false"/>
          <w:i w:val="false"/>
          <w:color w:val="000000"/>
          <w:sz w:val="28"/>
        </w:rPr>
        <w:t>
      Информирование широкой общественности играет немаловажную роль в управлении ТБО. Информирование будет включаться в планирование системы управления ТБО на самом раннем этапе.</w:t>
      </w:r>
    </w:p>
    <w:bookmarkEnd w:id="197"/>
    <w:bookmarkStart w:name="z208" w:id="198"/>
    <w:p>
      <w:pPr>
        <w:spacing w:after="0"/>
        <w:ind w:left="0"/>
        <w:jc w:val="both"/>
      </w:pPr>
      <w:r>
        <w:rPr>
          <w:rFonts w:ascii="Times New Roman"/>
          <w:b w:val="false"/>
          <w:i w:val="false"/>
          <w:color w:val="000000"/>
          <w:sz w:val="28"/>
        </w:rPr>
        <w:t>
      4.1. Публикации в социальных сетях района и в местных газетах не менее чем 1 раз в квартал;</w:t>
      </w:r>
    </w:p>
    <w:bookmarkEnd w:id="198"/>
    <w:bookmarkStart w:name="z209" w:id="199"/>
    <w:p>
      <w:pPr>
        <w:spacing w:after="0"/>
        <w:ind w:left="0"/>
        <w:jc w:val="both"/>
      </w:pPr>
      <w:r>
        <w:rPr>
          <w:rFonts w:ascii="Times New Roman"/>
          <w:b w:val="false"/>
          <w:i w:val="false"/>
          <w:color w:val="000000"/>
          <w:sz w:val="28"/>
        </w:rPr>
        <w:t>
      4.2. Установка информационных стендов в общественных местах, обеспечивающих доступную информацию о выгодах и преимуществах системы раздельного сбора и утилизации отходов;</w:t>
      </w:r>
    </w:p>
    <w:bookmarkEnd w:id="199"/>
    <w:bookmarkStart w:name="z210" w:id="200"/>
    <w:p>
      <w:pPr>
        <w:spacing w:after="0"/>
        <w:ind w:left="0"/>
        <w:jc w:val="both"/>
      </w:pPr>
      <w:r>
        <w:rPr>
          <w:rFonts w:ascii="Times New Roman"/>
          <w:b w:val="false"/>
          <w:i w:val="false"/>
          <w:color w:val="000000"/>
          <w:sz w:val="28"/>
        </w:rPr>
        <w:t>
      4.3. Реализация мероприятий по информированию общественности, работы с населением по обращению с отходами, не менее чем 1 раз в квартал:</w:t>
      </w:r>
    </w:p>
    <w:bookmarkEnd w:id="200"/>
    <w:bookmarkStart w:name="z211" w:id="201"/>
    <w:p>
      <w:pPr>
        <w:spacing w:after="0"/>
        <w:ind w:left="0"/>
        <w:jc w:val="both"/>
      </w:pPr>
      <w:r>
        <w:rPr>
          <w:rFonts w:ascii="Times New Roman"/>
          <w:b w:val="false"/>
          <w:i w:val="false"/>
          <w:color w:val="000000"/>
          <w:sz w:val="28"/>
        </w:rPr>
        <w:t>
      1) информационные материалы о вторичном использовании материальных ресурсов для распространения в школах, среди широкой общественности;</w:t>
      </w:r>
    </w:p>
    <w:bookmarkEnd w:id="201"/>
    <w:bookmarkStart w:name="z212" w:id="202"/>
    <w:p>
      <w:pPr>
        <w:spacing w:after="0"/>
        <w:ind w:left="0"/>
        <w:jc w:val="both"/>
      </w:pPr>
      <w:r>
        <w:rPr>
          <w:rFonts w:ascii="Times New Roman"/>
          <w:b w:val="false"/>
          <w:i w:val="false"/>
          <w:color w:val="000000"/>
          <w:sz w:val="28"/>
        </w:rPr>
        <w:t>
      2) брошюры о домашнем компостировании зеленых, пищевых отходов, отходов животноводства;</w:t>
      </w:r>
    </w:p>
    <w:bookmarkEnd w:id="202"/>
    <w:bookmarkStart w:name="z213" w:id="203"/>
    <w:p>
      <w:pPr>
        <w:spacing w:after="0"/>
        <w:ind w:left="0"/>
        <w:jc w:val="both"/>
      </w:pPr>
      <w:r>
        <w:rPr>
          <w:rFonts w:ascii="Times New Roman"/>
          <w:b w:val="false"/>
          <w:i w:val="false"/>
          <w:color w:val="000000"/>
          <w:sz w:val="28"/>
        </w:rPr>
        <w:t>
      3) организация ознакомительных визитов на полигоны для школьников и студентов;</w:t>
      </w:r>
    </w:p>
    <w:bookmarkEnd w:id="203"/>
    <w:bookmarkStart w:name="z214" w:id="204"/>
    <w:p>
      <w:pPr>
        <w:spacing w:after="0"/>
        <w:ind w:left="0"/>
        <w:jc w:val="both"/>
      </w:pPr>
      <w:r>
        <w:rPr>
          <w:rFonts w:ascii="Times New Roman"/>
          <w:b w:val="false"/>
          <w:i w:val="false"/>
          <w:color w:val="000000"/>
          <w:sz w:val="28"/>
        </w:rPr>
        <w:t>
      4) конкурсы рисунков, фотографий среди школьников на тему рационального управления коммунальными отходами.</w:t>
      </w:r>
    </w:p>
    <w:bookmarkEnd w:id="204"/>
    <w:bookmarkStart w:name="z215" w:id="205"/>
    <w:p>
      <w:pPr>
        <w:spacing w:after="0"/>
        <w:ind w:left="0"/>
        <w:jc w:val="both"/>
      </w:pPr>
      <w:r>
        <w:rPr>
          <w:rFonts w:ascii="Times New Roman"/>
          <w:b w:val="false"/>
          <w:i w:val="false"/>
          <w:color w:val="000000"/>
          <w:sz w:val="28"/>
        </w:rPr>
        <w:t>
      5)</w:t>
      </w:r>
    </w:p>
    <w:bookmarkEnd w:id="205"/>
    <w:bookmarkStart w:name="z216" w:id="206"/>
    <w:p>
      <w:pPr>
        <w:spacing w:after="0"/>
        <w:ind w:left="0"/>
        <w:jc w:val="left"/>
      </w:pPr>
      <w:r>
        <w:rPr>
          <w:rFonts w:ascii="Times New Roman"/>
          <w:b/>
          <w:i w:val="false"/>
          <w:color w:val="000000"/>
        </w:rPr>
        <w:t xml:space="preserve"> 2.1. Целевые показатели программы</w:t>
      </w:r>
    </w:p>
    <w:bookmarkEnd w:id="206"/>
    <w:bookmarkStart w:name="z217" w:id="207"/>
    <w:p>
      <w:pPr>
        <w:spacing w:after="0"/>
        <w:ind w:left="0"/>
        <w:jc w:val="both"/>
      </w:pPr>
      <w:r>
        <w:rPr>
          <w:rFonts w:ascii="Times New Roman"/>
          <w:b w:val="false"/>
          <w:i w:val="false"/>
          <w:color w:val="000000"/>
          <w:sz w:val="28"/>
        </w:rPr>
        <w:t>
      Реализация настоящей Программы управления коммунальными отходами рассчитана на исполнение в срок до 2030 года и достижения следующих целевых индикаторов:</w:t>
      </w:r>
    </w:p>
    <w:bookmarkEnd w:id="207"/>
    <w:bookmarkStart w:name="z218" w:id="208"/>
    <w:p>
      <w:pPr>
        <w:spacing w:after="0"/>
        <w:ind w:left="0"/>
        <w:jc w:val="both"/>
      </w:pPr>
      <w:r>
        <w:rPr>
          <w:rFonts w:ascii="Times New Roman"/>
          <w:b w:val="false"/>
          <w:i w:val="false"/>
          <w:color w:val="000000"/>
          <w:sz w:val="28"/>
        </w:rPr>
        <w:t>
      1. Определение единого оператора по сбору, транспортировке, сортировке и захоронению твердых бытовых отходов к 2024-2025 году.</w:t>
      </w:r>
    </w:p>
    <w:bookmarkEnd w:id="208"/>
    <w:bookmarkStart w:name="z219" w:id="209"/>
    <w:p>
      <w:pPr>
        <w:spacing w:after="0"/>
        <w:ind w:left="0"/>
        <w:jc w:val="both"/>
      </w:pPr>
      <w:r>
        <w:rPr>
          <w:rFonts w:ascii="Times New Roman"/>
          <w:b w:val="false"/>
          <w:i w:val="false"/>
          <w:color w:val="000000"/>
          <w:sz w:val="28"/>
        </w:rPr>
        <w:t>
      2. Покрытие населения Житикаринского района к 2030 году, централизованным сбором и вывозом твердых бытовых отходов на 90 %.</w:t>
      </w:r>
    </w:p>
    <w:bookmarkEnd w:id="209"/>
    <w:bookmarkStart w:name="z220" w:id="210"/>
    <w:p>
      <w:pPr>
        <w:spacing w:after="0"/>
        <w:ind w:left="0"/>
        <w:jc w:val="both"/>
      </w:pPr>
      <w:r>
        <w:rPr>
          <w:rFonts w:ascii="Times New Roman"/>
          <w:b w:val="false"/>
          <w:i w:val="false"/>
          <w:color w:val="000000"/>
          <w:sz w:val="28"/>
        </w:rPr>
        <w:t>
      3. Приведение полигонов Житикаринского района в соответствии с санитарными нормами и требованиями к 2030 году – 100%.</w:t>
      </w:r>
    </w:p>
    <w:bookmarkEnd w:id="210"/>
    <w:bookmarkStart w:name="z221" w:id="211"/>
    <w:p>
      <w:pPr>
        <w:spacing w:after="0"/>
        <w:ind w:left="0"/>
        <w:jc w:val="both"/>
      </w:pPr>
      <w:r>
        <w:rPr>
          <w:rFonts w:ascii="Times New Roman"/>
          <w:b w:val="false"/>
          <w:i w:val="false"/>
          <w:color w:val="000000"/>
          <w:sz w:val="28"/>
        </w:rPr>
        <w:t>
      4. Доля сортированных коммунальных отходов на месте их образования по Житикаринскому району к 2030 году – 40%.</w:t>
      </w:r>
    </w:p>
    <w:bookmarkEnd w:id="211"/>
    <w:bookmarkStart w:name="z222" w:id="212"/>
    <w:p>
      <w:pPr>
        <w:spacing w:after="0"/>
        <w:ind w:left="0"/>
        <w:jc w:val="both"/>
      </w:pPr>
      <w:r>
        <w:rPr>
          <w:rFonts w:ascii="Times New Roman"/>
          <w:b w:val="false"/>
          <w:i w:val="false"/>
          <w:color w:val="000000"/>
          <w:sz w:val="28"/>
        </w:rPr>
        <w:t>
      Таблица 18 Swot-анализ</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3"/>
          <w:p>
            <w:pPr>
              <w:spacing w:after="20"/>
              <w:ind w:left="20"/>
              <w:jc w:val="both"/>
            </w:pPr>
            <w:r>
              <w:rPr>
                <w:rFonts w:ascii="Times New Roman"/>
                <w:b w:val="false"/>
                <w:i w:val="false"/>
                <w:color w:val="000000"/>
                <w:sz w:val="20"/>
              </w:rPr>
              <w:t>
1. Данный сектор является изученным в мировой практике – существуют проверенные технологии и решения для его модернизации.</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2. Рынок является открытым для потенциальных инвесторов и частных источников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Имеющийся потенциал использования ТБО в целях развития "зеленой" энергетики.</w:t>
            </w:r>
          </w:p>
          <w:p>
            <w:pPr>
              <w:spacing w:after="20"/>
              <w:ind w:left="20"/>
              <w:jc w:val="both"/>
            </w:pPr>
            <w:r>
              <w:rPr>
                <w:rFonts w:ascii="Times New Roman"/>
                <w:b w:val="false"/>
                <w:i w:val="false"/>
                <w:color w:val="000000"/>
                <w:sz w:val="20"/>
              </w:rPr>
              <w:t>
4. Потенциал использования вторичных ресурсов, получаемых из ТБО.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4"/>
          <w:p>
            <w:pPr>
              <w:spacing w:after="20"/>
              <w:ind w:left="20"/>
              <w:jc w:val="both"/>
            </w:pPr>
            <w:r>
              <w:rPr>
                <w:rFonts w:ascii="Times New Roman"/>
                <w:b w:val="false"/>
                <w:i w:val="false"/>
                <w:color w:val="000000"/>
                <w:sz w:val="20"/>
              </w:rPr>
              <w:t>
1. Неразвитая система сбора, в т.ч. раздельного сбора ТБО.</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2. Захоронение отходов без предварительной переработки практически на всей территории района.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Низкий объем переработки и утилизации отходов по республике.</w:t>
            </w:r>
          </w:p>
          <w:p>
            <w:pPr>
              <w:spacing w:after="20"/>
              <w:ind w:left="20"/>
              <w:jc w:val="both"/>
            </w:pPr>
            <w:r>
              <w:rPr>
                <w:rFonts w:ascii="Times New Roman"/>
                <w:b w:val="false"/>
                <w:i w:val="false"/>
                <w:color w:val="000000"/>
                <w:sz w:val="20"/>
              </w:rPr>
              <w:t>
4. Несоответствие существующих объектов захоронения ТБО требованиям санитарных правил.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5"/>
          <w:p>
            <w:pPr>
              <w:spacing w:after="20"/>
              <w:ind w:left="20"/>
              <w:jc w:val="both"/>
            </w:pPr>
            <w:r>
              <w:rPr>
                <w:rFonts w:ascii="Times New Roman"/>
                <w:b w:val="false"/>
                <w:i w:val="false"/>
                <w:color w:val="000000"/>
                <w:sz w:val="20"/>
              </w:rPr>
              <w:t>
1. Эффективная система сбора ТБО.</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2. Внедрение регионального подхода в системе обращения ТБО.</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Повышение объем переработки и утилизации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Достижение значительных и экономически эффективных способов сбора, транспортировки и переработки ТБО.</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Рекультивация свалок на территории республики.</w:t>
            </w:r>
          </w:p>
          <w:p>
            <w:pPr>
              <w:spacing w:after="20"/>
              <w:ind w:left="20"/>
              <w:jc w:val="both"/>
            </w:pPr>
            <w:r>
              <w:rPr>
                <w:rFonts w:ascii="Times New Roman"/>
                <w:b w:val="false"/>
                <w:i w:val="false"/>
                <w:color w:val="000000"/>
                <w:sz w:val="20"/>
              </w:rPr>
              <w:t>
6. Строительство полигонов ТБО, соответствующих мировым стандартам.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6"/>
          <w:p>
            <w:pPr>
              <w:spacing w:after="20"/>
              <w:ind w:left="20"/>
              <w:jc w:val="both"/>
            </w:pPr>
            <w:r>
              <w:rPr>
                <w:rFonts w:ascii="Times New Roman"/>
                <w:b w:val="false"/>
                <w:i w:val="false"/>
                <w:color w:val="000000"/>
                <w:sz w:val="20"/>
              </w:rPr>
              <w:t>
1. Возникновение критических экологических ситуаций в зонах с накопленными отходами.</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2. Многократное увеличение объемов образуемых отходов.</w:t>
            </w:r>
          </w:p>
          <w:p>
            <w:pPr>
              <w:spacing w:after="20"/>
              <w:ind w:left="20"/>
              <w:jc w:val="both"/>
            </w:pPr>
            <w:r>
              <w:rPr>
                <w:rFonts w:ascii="Times New Roman"/>
                <w:b w:val="false"/>
                <w:i w:val="false"/>
                <w:color w:val="000000"/>
                <w:sz w:val="20"/>
              </w:rPr>
              <w:t>
3. Выбросы в атмосферу от существующих полигонов, оказывающих влияние на изменение климата.</w:t>
            </w:r>
          </w:p>
        </w:tc>
      </w:tr>
    </w:tbl>
    <w:bookmarkStart w:name="z236" w:id="217"/>
    <w:p>
      <w:pPr>
        <w:spacing w:after="0"/>
        <w:ind w:left="0"/>
        <w:jc w:val="left"/>
      </w:pPr>
      <w:r>
        <w:rPr>
          <w:rFonts w:ascii="Times New Roman"/>
          <w:b/>
          <w:i w:val="false"/>
          <w:color w:val="000000"/>
        </w:rPr>
        <w:t xml:space="preserve"> 2. ОСНОВНЫЕ НАПРАВЛЕНИЯ, ПУТИ ДОСТИЖЕНИЯ ПОСТАВЛЕННОЙ ЦЕЛИ И СООТВЕТСТВУЮЩИЕ МЕРЫ</w:t>
      </w:r>
    </w:p>
    <w:bookmarkEnd w:id="217"/>
    <w:bookmarkStart w:name="z237" w:id="218"/>
    <w:p>
      <w:pPr>
        <w:spacing w:after="0"/>
        <w:ind w:left="0"/>
        <w:jc w:val="left"/>
      </w:pPr>
      <w:r>
        <w:rPr>
          <w:rFonts w:ascii="Times New Roman"/>
          <w:b/>
          <w:i w:val="false"/>
          <w:color w:val="000000"/>
        </w:rPr>
        <w:t xml:space="preserve"> 3.1. Основные направления, пути достижения поставленной цели и соответствующие меры</w:t>
      </w:r>
    </w:p>
    <w:bookmarkEnd w:id="218"/>
    <w:bookmarkStart w:name="z238" w:id="219"/>
    <w:p>
      <w:pPr>
        <w:spacing w:after="0"/>
        <w:ind w:left="0"/>
        <w:jc w:val="left"/>
      </w:pPr>
      <w:r>
        <w:rPr>
          <w:rFonts w:ascii="Times New Roman"/>
          <w:b/>
          <w:i w:val="false"/>
          <w:color w:val="000000"/>
        </w:rPr>
        <w:t xml:space="preserve"> Вариант 1: Государственно-частное партнерство</w:t>
      </w:r>
    </w:p>
    <w:bookmarkEnd w:id="219"/>
    <w:bookmarkStart w:name="z239" w:id="220"/>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366</w:t>
      </w:r>
      <w:r>
        <w:rPr>
          <w:rFonts w:ascii="Times New Roman"/>
          <w:b w:val="false"/>
          <w:i w:val="false"/>
          <w:color w:val="000000"/>
          <w:sz w:val="28"/>
        </w:rPr>
        <w:t xml:space="preserve"> Экологического кодекса Республики Казахстан, кодекса Республики Казахстан, проектирование, строительство, создание, реконструкция, модернизация и эксплуатация инфраструктуры и осуществление деятельности по сбору, транспортировке, сортировке, захоронению твердых бытовых отходов, ликвидации стихийных свалок могут осуществляться путем реализации проектов государственно-частного партнерства в соответствии с законодательством Республики Казахстан в области государственно-частного партнерства.</w:t>
      </w:r>
    </w:p>
    <w:bookmarkEnd w:id="220"/>
    <w:bookmarkStart w:name="z240" w:id="221"/>
    <w:p>
      <w:pPr>
        <w:spacing w:after="0"/>
        <w:ind w:left="0"/>
        <w:jc w:val="both"/>
      </w:pPr>
      <w:r>
        <w:rPr>
          <w:rFonts w:ascii="Times New Roman"/>
          <w:b w:val="false"/>
          <w:i w:val="false"/>
          <w:color w:val="000000"/>
          <w:sz w:val="28"/>
        </w:rPr>
        <w:t xml:space="preserve">
      Использование средств утилизационного платежа для реализации проектов государственно-частного партнерства по управлению твердыми бытовыми отходами применяется с учетом особенностей, предусмотренных нормами </w:t>
      </w:r>
      <w:r>
        <w:rPr>
          <w:rFonts w:ascii="Times New Roman"/>
          <w:b w:val="false"/>
          <w:i w:val="false"/>
          <w:color w:val="000000"/>
          <w:sz w:val="28"/>
        </w:rPr>
        <w:t>Экологического кодекса</w:t>
      </w:r>
      <w:r>
        <w:rPr>
          <w:rFonts w:ascii="Times New Roman"/>
          <w:b w:val="false"/>
          <w:i w:val="false"/>
          <w:color w:val="000000"/>
          <w:sz w:val="28"/>
        </w:rPr>
        <w:t>. При этом такие проекты применяются только для деятельности по управлению твердыми бытовыми отходами, осуществляемой за счет тарифа для населения на сбор, транспортировку, сортировку и захоронение твердых бытовых отходов.</w:t>
      </w:r>
    </w:p>
    <w:bookmarkEnd w:id="221"/>
    <w:bookmarkStart w:name="z241" w:id="222"/>
    <w:p>
      <w:pPr>
        <w:spacing w:after="0"/>
        <w:ind w:left="0"/>
        <w:jc w:val="both"/>
      </w:pPr>
      <w:r>
        <w:rPr>
          <w:rFonts w:ascii="Times New Roman"/>
          <w:b w:val="false"/>
          <w:i w:val="false"/>
          <w:color w:val="000000"/>
          <w:sz w:val="28"/>
        </w:rPr>
        <w:t>
      Проекты ГЧП в сфере управления твердыми бытовыми отходами (ТБО) в настоящее время рассматривают три варианта реализации, и первый из них это сервисный контракт.</w:t>
      </w:r>
    </w:p>
    <w:bookmarkEnd w:id="222"/>
    <w:bookmarkStart w:name="z242" w:id="223"/>
    <w:p>
      <w:pPr>
        <w:spacing w:after="0"/>
        <w:ind w:left="0"/>
        <w:jc w:val="left"/>
      </w:pPr>
      <w:r>
        <w:rPr>
          <w:rFonts w:ascii="Times New Roman"/>
          <w:b/>
          <w:i w:val="false"/>
          <w:color w:val="000000"/>
        </w:rPr>
        <w:t xml:space="preserve"> Сервисный контракт ГЧП</w:t>
      </w:r>
    </w:p>
    <w:bookmarkEnd w:id="223"/>
    <w:bookmarkStart w:name="z243" w:id="224"/>
    <w:p>
      <w:pPr>
        <w:spacing w:after="0"/>
        <w:ind w:left="0"/>
        <w:jc w:val="both"/>
      </w:pPr>
      <w:r>
        <w:rPr>
          <w:rFonts w:ascii="Times New Roman"/>
          <w:b w:val="false"/>
          <w:i w:val="false"/>
          <w:color w:val="000000"/>
          <w:sz w:val="28"/>
        </w:rPr>
        <w:t>
      В соответствии с этим подходом частный партнер вкладывает средства в создание и эксплуатацию объекта ГЧП, а также предоставляет услуги по управлению ТБО. Государственный партнер, в свою очередь, осуществляет мониторинг и контроль за качеством предоставляемых услуг, а также заботится о закрытии потребностей в инфраструктуре.</w:t>
      </w:r>
    </w:p>
    <w:bookmarkEnd w:id="224"/>
    <w:bookmarkStart w:name="z244" w:id="225"/>
    <w:p>
      <w:pPr>
        <w:spacing w:after="0"/>
        <w:ind w:left="0"/>
        <w:jc w:val="left"/>
      </w:pPr>
      <w:r>
        <w:rPr>
          <w:rFonts w:ascii="Times New Roman"/>
          <w:b/>
          <w:i w:val="false"/>
          <w:color w:val="000000"/>
        </w:rPr>
        <w:t xml:space="preserve"> Строительство и эксплуатация нового объекта ГЧП</w:t>
      </w:r>
    </w:p>
    <w:bookmarkEnd w:id="225"/>
    <w:bookmarkStart w:name="z245" w:id="226"/>
    <w:p>
      <w:pPr>
        <w:spacing w:after="0"/>
        <w:ind w:left="0"/>
        <w:jc w:val="both"/>
      </w:pPr>
      <w:r>
        <w:rPr>
          <w:rFonts w:ascii="Times New Roman"/>
          <w:b w:val="false"/>
          <w:i w:val="false"/>
          <w:color w:val="000000"/>
          <w:sz w:val="28"/>
        </w:rPr>
        <w:t>
      В предпринимаемом проекте, направленном на создание и последующую эксплуатацию нового объекта государственно-частного партнерства (ГЧП), роли частного и государственного партнеров разделены с учетом оптимального сотрудничества.</w:t>
      </w:r>
    </w:p>
    <w:bookmarkEnd w:id="226"/>
    <w:bookmarkStart w:name="z246" w:id="227"/>
    <w:p>
      <w:pPr>
        <w:spacing w:after="0"/>
        <w:ind w:left="0"/>
        <w:jc w:val="both"/>
      </w:pPr>
      <w:r>
        <w:rPr>
          <w:rFonts w:ascii="Times New Roman"/>
          <w:b w:val="false"/>
          <w:i w:val="false"/>
          <w:color w:val="000000"/>
          <w:sz w:val="28"/>
        </w:rPr>
        <w:t>
      Частный партнер вносит инвестиции в проектирование и строительство нового объекта ГЧП, обеспечивая его современность и эффективность. По завершении строительства, объект передается в государственную собственность, где частный партнер приступает к его эксплуатации. Кроме того, частный партнер оказывает услуги по управлению твердыми бытовыми отходами, обеспечивая тем самым комплексное и качественное решение задач по обработке отходов.</w:t>
      </w:r>
    </w:p>
    <w:bookmarkEnd w:id="227"/>
    <w:bookmarkStart w:name="z247" w:id="228"/>
    <w:p>
      <w:pPr>
        <w:spacing w:after="0"/>
        <w:ind w:left="0"/>
        <w:jc w:val="both"/>
      </w:pPr>
      <w:r>
        <w:rPr>
          <w:rFonts w:ascii="Times New Roman"/>
          <w:b w:val="false"/>
          <w:i w:val="false"/>
          <w:color w:val="000000"/>
          <w:sz w:val="28"/>
        </w:rPr>
        <w:t>
      Объект ГЧП остается в собственности государственного предприятия, что обеспечивает государственный контроль и надежность в управлении ключевой инфраструктурой. Государственный партнер осуществляет мониторинг и контроль за качеством предоставляемых частным партнером услуг, гарантируя их соответствие стандартам и ожиданиям. Он также активно заботится о закрытии потребностей в инфраструктуре, обеспечивая надежное и устойчивое функционирование системы управления ТБО.</w:t>
      </w:r>
    </w:p>
    <w:bookmarkEnd w:id="228"/>
    <w:bookmarkStart w:name="z248" w:id="229"/>
    <w:p>
      <w:pPr>
        <w:spacing w:after="0"/>
        <w:ind w:left="0"/>
        <w:jc w:val="both"/>
      </w:pPr>
      <w:r>
        <w:rPr>
          <w:rFonts w:ascii="Times New Roman"/>
          <w:b w:val="false"/>
          <w:i w:val="false"/>
          <w:color w:val="000000"/>
          <w:sz w:val="28"/>
        </w:rPr>
        <w:t xml:space="preserve">
      Согласно 6 пункта </w:t>
      </w:r>
      <w:r>
        <w:rPr>
          <w:rFonts w:ascii="Times New Roman"/>
          <w:b w:val="false"/>
          <w:i w:val="false"/>
          <w:color w:val="000000"/>
          <w:sz w:val="28"/>
        </w:rPr>
        <w:t>статьи 366</w:t>
      </w:r>
      <w:r>
        <w:rPr>
          <w:rFonts w:ascii="Times New Roman"/>
          <w:b w:val="false"/>
          <w:i w:val="false"/>
          <w:color w:val="000000"/>
          <w:sz w:val="28"/>
        </w:rPr>
        <w:t xml:space="preserve"> Экологического кодекса Республики Казахстан, оператор расширенных обязательств производителей (импортеров) в соответствии с подпунктом 3) пункта 3 настоящей статьи возмещает в рамках проекта государственно-частного партнерства разницу между предельным тарифом и текущим тарифом для населения на сбор, транспортировку, сортировку и захоронение твердых бытовых отходов.</w:t>
      </w:r>
    </w:p>
    <w:bookmarkEnd w:id="229"/>
    <w:bookmarkStart w:name="z249" w:id="230"/>
    <w:p>
      <w:pPr>
        <w:spacing w:after="0"/>
        <w:ind w:left="0"/>
        <w:jc w:val="both"/>
      </w:pPr>
      <w:r>
        <w:rPr>
          <w:rFonts w:ascii="Times New Roman"/>
          <w:b w:val="false"/>
          <w:i w:val="false"/>
          <w:color w:val="000000"/>
          <w:sz w:val="28"/>
        </w:rPr>
        <w:t>
      Для реализации данного пункта предполагается следующая институциональная схема с участием АО "Жасыл даму".</w:t>
      </w:r>
    </w:p>
    <w:bookmarkEnd w:id="230"/>
    <w:bookmarkStart w:name="z250" w:id="231"/>
    <w:p>
      <w:pPr>
        <w:spacing w:after="0"/>
        <w:ind w:left="0"/>
        <w:jc w:val="both"/>
      </w:pPr>
      <w:r>
        <w:rPr>
          <w:rFonts w:ascii="Times New Roman"/>
          <w:b w:val="false"/>
          <w:i w:val="false"/>
          <w:color w:val="000000"/>
          <w:sz w:val="28"/>
        </w:rPr>
        <w:t xml:space="preserve">
      В данной институциональной схеме предполагается проект ГЧП в сфере управления твердыми бытовыми отходами. Согласно пункта 7 </w:t>
      </w:r>
      <w:r>
        <w:rPr>
          <w:rFonts w:ascii="Times New Roman"/>
          <w:b w:val="false"/>
          <w:i w:val="false"/>
          <w:color w:val="000000"/>
          <w:sz w:val="28"/>
        </w:rPr>
        <w:t>статьи 366</w:t>
      </w:r>
      <w:r>
        <w:rPr>
          <w:rFonts w:ascii="Times New Roman"/>
          <w:b w:val="false"/>
          <w:i w:val="false"/>
          <w:color w:val="000000"/>
          <w:sz w:val="28"/>
        </w:rPr>
        <w:t xml:space="preserve"> Экологического кодекса Республики Казахстан, размер предельного тарифа для каждого проекта государственно-частного партнерства на сбор, транспортировку, сортировку и захоронение твердых бытовых отходов разрабатывается и утверждается уполномоченным органом в области охраны окружающей среды и отражает фактические и инвестиционные расходы по указанным операциям в соответствующем городе, районе.</w:t>
      </w:r>
    </w:p>
    <w:bookmarkEnd w:id="231"/>
    <w:bookmarkStart w:name="z251" w:id="232"/>
    <w:p>
      <w:pPr>
        <w:spacing w:after="0"/>
        <w:ind w:left="0"/>
        <w:jc w:val="left"/>
      </w:pPr>
      <w:r>
        <w:rPr>
          <w:rFonts w:ascii="Times New Roman"/>
          <w:b/>
          <w:i w:val="false"/>
          <w:color w:val="000000"/>
        </w:rPr>
        <w:t xml:space="preserve"> Вариант 2 Управление коммунальными отходами на базе коммунального государственного предприятия</w:t>
      </w:r>
    </w:p>
    <w:bookmarkEnd w:id="232"/>
    <w:bookmarkStart w:name="z252" w:id="233"/>
    <w:p>
      <w:pPr>
        <w:spacing w:after="0"/>
        <w:ind w:left="0"/>
        <w:jc w:val="both"/>
      </w:pPr>
      <w:r>
        <w:rPr>
          <w:rFonts w:ascii="Times New Roman"/>
          <w:b w:val="false"/>
          <w:i w:val="false"/>
          <w:color w:val="000000"/>
          <w:sz w:val="28"/>
        </w:rPr>
        <w:t xml:space="preserve">
      При отсутствии частного партнера, выражающего интерес к участию на рынке управления коммунальными отходами в Житикаринском районе, рекомендуется рассмотреть возможность создания коммунального государственного предприятия (КГП) в соответствии с положениями пункта 4 </w:t>
      </w:r>
      <w:r>
        <w:rPr>
          <w:rFonts w:ascii="Times New Roman"/>
          <w:b w:val="false"/>
          <w:i w:val="false"/>
          <w:color w:val="000000"/>
          <w:sz w:val="28"/>
        </w:rPr>
        <w:t>статьи 192</w:t>
      </w:r>
      <w:r>
        <w:rPr>
          <w:rFonts w:ascii="Times New Roman"/>
          <w:b w:val="false"/>
          <w:i w:val="false"/>
          <w:color w:val="000000"/>
          <w:sz w:val="28"/>
        </w:rPr>
        <w:t xml:space="preserve"> "Основания участия государства в предпринимательской деятельности" Предпринимательского кодекса Республики Казахстан.</w:t>
      </w:r>
    </w:p>
    <w:bookmarkEnd w:id="233"/>
    <w:bookmarkStart w:name="z253" w:id="234"/>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28 декабря 2015 года № 1095 "Об утверждении перечня видов деятельности, осуществляемых государственными предприятиями,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вид деятельности "Сбор неопасных отходов" ОКЭД 38110 допускается осуществлять государственным предприятиям, находящимся в коммунальной собственности.</w:t>
      </w:r>
    </w:p>
    <w:bookmarkEnd w:id="234"/>
    <w:bookmarkStart w:name="z254" w:id="235"/>
    <w:p>
      <w:pPr>
        <w:spacing w:after="0"/>
        <w:ind w:left="0"/>
        <w:jc w:val="both"/>
      </w:pPr>
      <w:r>
        <w:rPr>
          <w:rFonts w:ascii="Times New Roman"/>
          <w:b w:val="false"/>
          <w:i w:val="false"/>
          <w:color w:val="000000"/>
          <w:sz w:val="28"/>
        </w:rPr>
        <w:t xml:space="preserve">
      В целях финансирования инвестиционных вложений образуемого КГП, имеется возможность получения бюджетного кредита на долгосрочной основе, по результатам разработанного финансово-экономического обоснования в соответствии с требованиями </w:t>
      </w:r>
      <w:r>
        <w:rPr>
          <w:rFonts w:ascii="Times New Roman"/>
          <w:b w:val="false"/>
          <w:i w:val="false"/>
          <w:color w:val="000000"/>
          <w:sz w:val="28"/>
        </w:rPr>
        <w:t>Бюджетного кодекса</w:t>
      </w:r>
      <w:r>
        <w:rPr>
          <w:rFonts w:ascii="Times New Roman"/>
          <w:b w:val="false"/>
          <w:i w:val="false"/>
          <w:color w:val="000000"/>
          <w:sz w:val="28"/>
        </w:rPr>
        <w:t xml:space="preserve"> Республики Казахстан и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оценки реализации бюджетных инвестиций и определения целесообразности бюджетного кредитования".</w:t>
      </w:r>
    </w:p>
    <w:bookmarkEnd w:id="235"/>
    <w:bookmarkStart w:name="z255" w:id="236"/>
    <w:p>
      <w:pPr>
        <w:spacing w:after="0"/>
        <w:ind w:left="0"/>
        <w:jc w:val="both"/>
      </w:pPr>
      <w:r>
        <w:rPr>
          <w:rFonts w:ascii="Times New Roman"/>
          <w:b w:val="false"/>
          <w:i w:val="false"/>
          <w:color w:val="000000"/>
          <w:sz w:val="28"/>
        </w:rPr>
        <w:t>
      Цель данного обоснования это получение бюджетного кредита для обеспечения необходимых финансовых ресурсов, требуемых для создания и эффективного функционирования объектов управления твердыми бытовыми отходами (ТБО). Важно уделять внимание соответствию предложения нормативам и требованиям, установленным соответствующим законодательством, с акцентом на экологическую и санитарную безопасность.</w:t>
      </w:r>
    </w:p>
    <w:bookmarkEnd w:id="236"/>
    <w:bookmarkStart w:name="z256" w:id="237"/>
    <w:p>
      <w:pPr>
        <w:spacing w:after="0"/>
        <w:ind w:left="0"/>
        <w:jc w:val="both"/>
      </w:pPr>
      <w:r>
        <w:rPr>
          <w:rFonts w:ascii="Times New Roman"/>
          <w:b w:val="false"/>
          <w:i w:val="false"/>
          <w:color w:val="000000"/>
          <w:sz w:val="28"/>
        </w:rPr>
        <w:t xml:space="preserve">
      Основным недостатком бюджетного кредита является невозможность для коммунального государственного предприятия (КГП) участвовать в компенсации затрат между предельным и фактическим тарифами, как это предусмотрено пунктом 6 </w:t>
      </w:r>
      <w:r>
        <w:rPr>
          <w:rFonts w:ascii="Times New Roman"/>
          <w:b w:val="false"/>
          <w:i w:val="false"/>
          <w:color w:val="000000"/>
          <w:sz w:val="28"/>
        </w:rPr>
        <w:t>статьи 366</w:t>
      </w:r>
      <w:r>
        <w:rPr>
          <w:rFonts w:ascii="Times New Roman"/>
          <w:b w:val="false"/>
          <w:i w:val="false"/>
          <w:color w:val="000000"/>
          <w:sz w:val="28"/>
        </w:rPr>
        <w:t xml:space="preserve"> Экологического кодекса Республики Казахстан.</w:t>
      </w:r>
    </w:p>
    <w:bookmarkEnd w:id="237"/>
    <w:bookmarkStart w:name="z257" w:id="238"/>
    <w:p>
      <w:pPr>
        <w:spacing w:after="0"/>
        <w:ind w:left="0"/>
        <w:jc w:val="both"/>
      </w:pPr>
      <w:r>
        <w:rPr>
          <w:rFonts w:ascii="Times New Roman"/>
          <w:b w:val="false"/>
          <w:i w:val="false"/>
          <w:color w:val="000000"/>
          <w:sz w:val="28"/>
        </w:rPr>
        <w:t>
      Согласно данному положению, оператор расширенных обязательств, производителей (импортеров) обязуется возмещать разницу между предельным и текущим тарифами для населения в рамках проекта государственно-частного партнерства. Учитывая, что коммунальное государственное предприятие (КГП) не может выступать в роли частного партнера, возможности для компенсации данных затрат ограничены.</w:t>
      </w:r>
    </w:p>
    <w:bookmarkEnd w:id="238"/>
    <w:bookmarkStart w:name="z258" w:id="239"/>
    <w:p>
      <w:pPr>
        <w:spacing w:after="0"/>
        <w:ind w:left="0"/>
        <w:jc w:val="left"/>
      </w:pPr>
      <w:r>
        <w:rPr>
          <w:rFonts w:ascii="Times New Roman"/>
          <w:b/>
          <w:i w:val="false"/>
          <w:color w:val="000000"/>
        </w:rPr>
        <w:t xml:space="preserve"> 3.2. Пути достижения поставленной цели и соответствующие меры</w:t>
      </w:r>
    </w:p>
    <w:bookmarkEnd w:id="239"/>
    <w:bookmarkStart w:name="z259" w:id="240"/>
    <w:p>
      <w:pPr>
        <w:spacing w:after="0"/>
        <w:ind w:left="0"/>
        <w:jc w:val="both"/>
      </w:pPr>
      <w:r>
        <w:rPr>
          <w:rFonts w:ascii="Times New Roman"/>
          <w:b w:val="false"/>
          <w:i w:val="false"/>
          <w:color w:val="000000"/>
          <w:sz w:val="28"/>
        </w:rPr>
        <w:t xml:space="preserve">
      В рамках реализации программы предусмотрены два основных варианта административного управления, описанных в </w:t>
      </w:r>
      <w:r>
        <w:rPr>
          <w:rFonts w:ascii="Times New Roman"/>
          <w:b w:val="false"/>
          <w:i w:val="false"/>
          <w:color w:val="000000"/>
          <w:sz w:val="28"/>
        </w:rPr>
        <w:t>главе 3</w:t>
      </w:r>
      <w:r>
        <w:rPr>
          <w:rFonts w:ascii="Times New Roman"/>
          <w:b w:val="false"/>
          <w:i w:val="false"/>
          <w:color w:val="000000"/>
          <w:sz w:val="28"/>
        </w:rPr>
        <w:t>. Первый вариант предполагает участие частного партнера на рынке ТБО, а второй создание коммунального государственного предприятия с единственным участником в лице местного исполнительного органа (МИО) для участия на местном рынке ТБО.</w:t>
      </w:r>
    </w:p>
    <w:bookmarkEnd w:id="240"/>
    <w:bookmarkStart w:name="z260" w:id="241"/>
    <w:p>
      <w:pPr>
        <w:spacing w:after="0"/>
        <w:ind w:left="0"/>
        <w:jc w:val="both"/>
      </w:pPr>
      <w:r>
        <w:rPr>
          <w:rFonts w:ascii="Times New Roman"/>
          <w:b w:val="false"/>
          <w:i w:val="false"/>
          <w:color w:val="000000"/>
          <w:sz w:val="28"/>
        </w:rPr>
        <w:t>
      В рамках программы управления коммунальными отходами в Житикаринском районе предусмотрены мероприятия ликвидации стихийных свалок, а также управлению коммунальными отходами. Действия нацелены на снижение негативного воздействия человеческой деятельности на окружающую среду и обеспечение устойчивого развития региона.</w:t>
      </w:r>
    </w:p>
    <w:bookmarkEnd w:id="241"/>
    <w:bookmarkStart w:name="z261" w:id="242"/>
    <w:p>
      <w:pPr>
        <w:spacing w:after="0"/>
        <w:ind w:left="0"/>
        <w:jc w:val="both"/>
      </w:pPr>
      <w:r>
        <w:rPr>
          <w:rFonts w:ascii="Times New Roman"/>
          <w:b w:val="false"/>
          <w:i w:val="false"/>
          <w:color w:val="000000"/>
          <w:sz w:val="28"/>
        </w:rPr>
        <w:t>
      Планируется оснащать мусорными площадками город Житикара, село Забеловка, село Пригородное, село Чайковское, село Ырсай, село Милютинка, село Тохтарово Тохтаровского сельского округа, село Львовка Тохтаровского сельского округа, село Приречное, село Тургеновка Большевистского сельского округа, село Степное Степного сельского округа, село Аккарга Степного сельского округа, село Муктиколь Муктикольского сельского округа, село Волгоградское Муктикольского сельского округа, село Кусакан Большевистского сельского округа, село Шевченковка Большевистского сельского округа, село Хозрет Большевистского сельского округа, село Тасыбай Большевистского сельского округа.</w:t>
      </w:r>
    </w:p>
    <w:bookmarkEnd w:id="242"/>
    <w:bookmarkStart w:name="z262" w:id="243"/>
    <w:p>
      <w:pPr>
        <w:spacing w:after="0"/>
        <w:ind w:left="0"/>
        <w:jc w:val="both"/>
      </w:pPr>
      <w:r>
        <w:rPr>
          <w:rFonts w:ascii="Times New Roman"/>
          <w:b w:val="false"/>
          <w:i w:val="false"/>
          <w:color w:val="000000"/>
          <w:sz w:val="28"/>
        </w:rPr>
        <w:t>
      В целом, реализация этих мероприятий содействует улучшению экологической обстановки, обеспечивает устойчивость в управлении коммунальными отходами и способствует созданию благоприятной среды для жизни и развития местного населения.</w:t>
      </w:r>
    </w:p>
    <w:bookmarkEnd w:id="243"/>
    <w:bookmarkStart w:name="z263" w:id="244"/>
    <w:p>
      <w:pPr>
        <w:spacing w:after="0"/>
        <w:ind w:left="0"/>
        <w:jc w:val="left"/>
      </w:pPr>
      <w:r>
        <w:rPr>
          <w:rFonts w:ascii="Times New Roman"/>
          <w:b/>
          <w:i w:val="false"/>
          <w:color w:val="000000"/>
        </w:rPr>
        <w:t xml:space="preserve"> 2. НЕОБХОДИМЫЕ РЕСУРСЫ</w:t>
      </w:r>
    </w:p>
    <w:bookmarkEnd w:id="244"/>
    <w:bookmarkStart w:name="z264" w:id="245"/>
    <w:p>
      <w:pPr>
        <w:spacing w:after="0"/>
        <w:ind w:left="0"/>
        <w:jc w:val="both"/>
      </w:pPr>
      <w:r>
        <w:rPr>
          <w:rFonts w:ascii="Times New Roman"/>
          <w:b w:val="false"/>
          <w:i w:val="false"/>
          <w:color w:val="000000"/>
          <w:sz w:val="28"/>
        </w:rPr>
        <w:t>
      Объем финансирование программы на 2024-2030 годы для Житикаринского района будет определено на основе детальных расчетов для каждого полигона. Фактические расчеты включают в себя оценку затрат, основанную на технико-экономическом обосновании (ТЭО) и других аналитических данных. Анализ проводится с учетом индивидуальных особенностей полигонов, обеспечивая оптимальное распределение бюджетных средств. Гибкость программы предусмотрена для адаптации к изменениям в условиях реализации и экономической обстановке.</w:t>
      </w:r>
    </w:p>
    <w:bookmarkEnd w:id="245"/>
    <w:bookmarkStart w:name="z265" w:id="246"/>
    <w:p>
      <w:pPr>
        <w:spacing w:after="0"/>
        <w:ind w:left="0"/>
        <w:jc w:val="both"/>
      </w:pPr>
      <w:r>
        <w:rPr>
          <w:rFonts w:ascii="Times New Roman"/>
          <w:b w:val="false"/>
          <w:i w:val="false"/>
          <w:color w:val="000000"/>
          <w:sz w:val="28"/>
        </w:rPr>
        <w:t>
      Таблица 19 Предполагаемые расходы местного бюджета</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расходы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участников рынка ТБО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контейнерных площадок города Житикара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контейнерных площадок в селах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стихийных свалок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в социальных сетях района и в местных газетах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информационных стендов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информированию общественности, работы с населением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265 900</w:t>
            </w:r>
          </w:p>
        </w:tc>
      </w:tr>
    </w:tbl>
    <w:bookmarkStart w:name="z266" w:id="247"/>
    <w:p>
      <w:pPr>
        <w:spacing w:after="0"/>
        <w:ind w:left="0"/>
        <w:jc w:val="both"/>
      </w:pPr>
      <w:r>
        <w:rPr>
          <w:rFonts w:ascii="Times New Roman"/>
          <w:b w:val="false"/>
          <w:i w:val="false"/>
          <w:color w:val="000000"/>
          <w:sz w:val="28"/>
        </w:rPr>
        <w:t>
      Основные затраты на внедрение программы управления коммунальными отходами в Житикаринском районе будут возлагаться на частного партнера ГЧП или КГП, остальные расходы, отраженные в таблице 23, покрываются за счет местного бюджета.</w:t>
      </w:r>
    </w:p>
    <w:bookmarkEnd w:id="247"/>
    <w:bookmarkStart w:name="z267" w:id="248"/>
    <w:p>
      <w:pPr>
        <w:spacing w:after="0"/>
        <w:ind w:left="0"/>
        <w:jc w:val="both"/>
      </w:pPr>
      <w:r>
        <w:rPr>
          <w:rFonts w:ascii="Times New Roman"/>
          <w:b w:val="false"/>
          <w:i w:val="false"/>
          <w:color w:val="000000"/>
          <w:sz w:val="28"/>
        </w:rPr>
        <w:t>
      Для бесперебойного функционирования Программы по управлению коммунальными отходами по Житикаринскому району необходимо обустройство 263 контейнерных площадок (с учетом 82 площадки в городе Житикара 328 контейнеров для сухих отходов и 82 контейнера для мокрых отходов) в сельских населенных пунктах будет установлено 181 контейнерная площадка (181 контейнер для сухих отходов, 181 контейнер для мокрых отходов).</w:t>
      </w:r>
    </w:p>
    <w:bookmarkEnd w:id="248"/>
    <w:bookmarkStart w:name="z268" w:id="249"/>
    <w:p>
      <w:pPr>
        <w:spacing w:after="0"/>
        <w:ind w:left="0"/>
        <w:jc w:val="both"/>
      </w:pPr>
      <w:r>
        <w:rPr>
          <w:rFonts w:ascii="Times New Roman"/>
          <w:b w:val="false"/>
          <w:i w:val="false"/>
          <w:color w:val="000000"/>
          <w:sz w:val="28"/>
        </w:rPr>
        <w:t>
      В 2024 году планируется установка контейнерных площадок в городе Житикара 41 площадка на сумму 65 000 тысяч тенге.</w:t>
      </w:r>
    </w:p>
    <w:bookmarkEnd w:id="249"/>
    <w:bookmarkStart w:name="z269" w:id="250"/>
    <w:p>
      <w:pPr>
        <w:spacing w:after="0"/>
        <w:ind w:left="0"/>
        <w:jc w:val="both"/>
      </w:pPr>
      <w:r>
        <w:rPr>
          <w:rFonts w:ascii="Times New Roman"/>
          <w:b w:val="false"/>
          <w:i w:val="false"/>
          <w:color w:val="000000"/>
          <w:sz w:val="28"/>
        </w:rPr>
        <w:t>
      В 2025 году планируется установка контейнерных площадок в городе Житикара 20 площадок, в селе Пригородное 32 площадки, в селе Ырсай 8 площадок на сумму 50 100 тысяч тенге.</w:t>
      </w:r>
    </w:p>
    <w:bookmarkEnd w:id="250"/>
    <w:bookmarkStart w:name="z270" w:id="251"/>
    <w:p>
      <w:pPr>
        <w:spacing w:after="0"/>
        <w:ind w:left="0"/>
        <w:jc w:val="both"/>
      </w:pPr>
      <w:r>
        <w:rPr>
          <w:rFonts w:ascii="Times New Roman"/>
          <w:b w:val="false"/>
          <w:i w:val="false"/>
          <w:color w:val="000000"/>
          <w:sz w:val="28"/>
        </w:rPr>
        <w:t>
      В 2026 году планируется установка контейнерных площадок в городе Житикара 21 площадка, в селе Забеловка 34 площадки, в селе Милютинка 10 площадок на сумму 53 540 тысяч тенге.</w:t>
      </w:r>
    </w:p>
    <w:bookmarkEnd w:id="251"/>
    <w:bookmarkStart w:name="z271" w:id="252"/>
    <w:p>
      <w:pPr>
        <w:spacing w:after="0"/>
        <w:ind w:left="0"/>
        <w:jc w:val="both"/>
      </w:pPr>
      <w:r>
        <w:rPr>
          <w:rFonts w:ascii="Times New Roman"/>
          <w:b w:val="false"/>
          <w:i w:val="false"/>
          <w:color w:val="000000"/>
          <w:sz w:val="28"/>
        </w:rPr>
        <w:t>
      В 2027 году планируется установка контейнерных площадок в селе Чайковское 23 площадки, в селе Тохтарово Тохтаровского сельского округа 10 площадок, в селе Львовка Тохтаровского сельского округа 2 площадки на сумму 16 100 тысяч тенге.</w:t>
      </w:r>
    </w:p>
    <w:bookmarkEnd w:id="252"/>
    <w:bookmarkStart w:name="z272" w:id="253"/>
    <w:p>
      <w:pPr>
        <w:spacing w:after="0"/>
        <w:ind w:left="0"/>
        <w:jc w:val="both"/>
      </w:pPr>
      <w:r>
        <w:rPr>
          <w:rFonts w:ascii="Times New Roman"/>
          <w:b w:val="false"/>
          <w:i w:val="false"/>
          <w:color w:val="000000"/>
          <w:sz w:val="28"/>
        </w:rPr>
        <w:t>
      В 2028 году планируется установка контейнерных площадок в селе Приречное 11 площадок, в селе Тургеновка Большевистского сельского округа 17 площадок на сумму 12 880 тысяч тенге.</w:t>
      </w:r>
    </w:p>
    <w:bookmarkEnd w:id="253"/>
    <w:bookmarkStart w:name="z273" w:id="254"/>
    <w:p>
      <w:pPr>
        <w:spacing w:after="0"/>
        <w:ind w:left="0"/>
        <w:jc w:val="both"/>
      </w:pPr>
      <w:r>
        <w:rPr>
          <w:rFonts w:ascii="Times New Roman"/>
          <w:b w:val="false"/>
          <w:i w:val="false"/>
          <w:color w:val="000000"/>
          <w:sz w:val="28"/>
        </w:rPr>
        <w:t>
      В 2029 году планируется установка контейнерных площадок в селе Степное Степного сельского округа 8 площадок, в селе Аккарга Степного сельского округа 2 площадки, в селе Муктиколь Муктикольского сельского округа 3 площадки, в селе Волгоградское Муктикольского сельского округа 2 площадки, в селе Шевченковка Большевистского сельского округа 5 площадок, в селе Хозрет Большевистского сельского округа 4 площадки, в селе Кусакан Большевистского сельского округа 4 площадки, в селе Тасыбай Большевистского сельского округа 1 площадка на сумму 13 340 тысяч тенге.</w:t>
      </w:r>
    </w:p>
    <w:bookmarkEnd w:id="254"/>
    <w:bookmarkStart w:name="z274" w:id="255"/>
    <w:p>
      <w:pPr>
        <w:spacing w:after="0"/>
        <w:ind w:left="0"/>
        <w:jc w:val="left"/>
      </w:pPr>
      <w:r>
        <w:rPr>
          <w:rFonts w:ascii="Times New Roman"/>
          <w:b/>
          <w:i w:val="false"/>
          <w:color w:val="000000"/>
        </w:rPr>
        <w:t xml:space="preserve"> 3. ПЛАН МЕРОПРИЯТИЙ ПО РЕАЛИЗАЦИИ ПРОГРАММЫ</w:t>
      </w:r>
    </w:p>
    <w:bookmarkEnd w:id="255"/>
    <w:bookmarkStart w:name="z275" w:id="256"/>
    <w:p>
      <w:pPr>
        <w:spacing w:after="0"/>
        <w:ind w:left="0"/>
        <w:jc w:val="left"/>
      </w:pPr>
      <w:r>
        <w:rPr>
          <w:rFonts w:ascii="Times New Roman"/>
          <w:b/>
          <w:i w:val="false"/>
          <w:color w:val="000000"/>
        </w:rPr>
        <w:t xml:space="preserve"> План мероприятий по реализации Программы управления коммунальными отходами Житикаринского района Костанайской области на 2024 – 2030 годы</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исполнения/Форма завершения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расходы (тыс. тенге)</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Определение единого оператора по сбору, транспортировке, сортировке и захоронению твердых бытовых отходов</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участников рынка ТБО</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ГЧП/ Создание КГП и разработка ФЭО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Организация системы централизованного сбора и транспортировки твердых бытовых отходов. Повсеместное внедрение раздельного сбора отходов у источника образования. Создание временных пунктов хранения отходов</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контейнерных площадок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Житикара - 41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7"/>
          <w:p>
            <w:pPr>
              <w:spacing w:after="20"/>
              <w:ind w:left="20"/>
              <w:jc w:val="both"/>
            </w:pPr>
            <w:r>
              <w:rPr>
                <w:rFonts w:ascii="Times New Roman"/>
                <w:b w:val="false"/>
                <w:i w:val="false"/>
                <w:color w:val="000000"/>
                <w:sz w:val="20"/>
              </w:rPr>
              <w:t>
Житикара – 20</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село Пригородное – 32,</w:t>
            </w:r>
          </w:p>
          <w:p>
            <w:pPr>
              <w:spacing w:after="20"/>
              <w:ind w:left="20"/>
              <w:jc w:val="both"/>
            </w:pPr>
            <w:r>
              <w:rPr>
                <w:rFonts w:ascii="Times New Roman"/>
                <w:b w:val="false"/>
                <w:i w:val="false"/>
                <w:color w:val="000000"/>
                <w:sz w:val="20"/>
              </w:rPr>
              <w:t>
село Ырсай –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8"/>
          <w:p>
            <w:pPr>
              <w:spacing w:after="20"/>
              <w:ind w:left="20"/>
              <w:jc w:val="both"/>
            </w:pPr>
            <w:r>
              <w:rPr>
                <w:rFonts w:ascii="Times New Roman"/>
                <w:b w:val="false"/>
                <w:i w:val="false"/>
                <w:color w:val="000000"/>
                <w:sz w:val="20"/>
              </w:rPr>
              <w:t>
Житикара – 21,</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село Забеловка – 34,</w:t>
            </w:r>
          </w:p>
          <w:p>
            <w:pPr>
              <w:spacing w:after="20"/>
              <w:ind w:left="20"/>
              <w:jc w:val="both"/>
            </w:pPr>
            <w:r>
              <w:rPr>
                <w:rFonts w:ascii="Times New Roman"/>
                <w:b w:val="false"/>
                <w:i w:val="false"/>
                <w:color w:val="000000"/>
                <w:sz w:val="20"/>
              </w:rPr>
              <w:t>
село Милютинка - 10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9"/>
          <w:p>
            <w:pPr>
              <w:spacing w:after="20"/>
              <w:ind w:left="20"/>
              <w:jc w:val="both"/>
            </w:pPr>
            <w:r>
              <w:rPr>
                <w:rFonts w:ascii="Times New Roman"/>
                <w:b w:val="false"/>
                <w:i w:val="false"/>
                <w:color w:val="000000"/>
                <w:sz w:val="20"/>
              </w:rPr>
              <w:t>
село Чайковское – 23,</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село Тохтарово Тохтаровского сельского округа – 10,</w:t>
            </w:r>
          </w:p>
          <w:p>
            <w:pPr>
              <w:spacing w:after="20"/>
              <w:ind w:left="20"/>
              <w:jc w:val="both"/>
            </w:pPr>
            <w:r>
              <w:rPr>
                <w:rFonts w:ascii="Times New Roman"/>
                <w:b w:val="false"/>
                <w:i w:val="false"/>
                <w:color w:val="000000"/>
                <w:sz w:val="20"/>
              </w:rPr>
              <w:t>
село Львовка Тохтаровского сельского округа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0"/>
          <w:p>
            <w:pPr>
              <w:spacing w:after="20"/>
              <w:ind w:left="20"/>
              <w:jc w:val="both"/>
            </w:pPr>
            <w:r>
              <w:rPr>
                <w:rFonts w:ascii="Times New Roman"/>
                <w:b w:val="false"/>
                <w:i w:val="false"/>
                <w:color w:val="000000"/>
                <w:sz w:val="20"/>
              </w:rPr>
              <w:t>
Приречное – 11,</w:t>
            </w:r>
          </w:p>
          <w:bookmarkEnd w:id="260"/>
          <w:p>
            <w:pPr>
              <w:spacing w:after="20"/>
              <w:ind w:left="20"/>
              <w:jc w:val="both"/>
            </w:pPr>
            <w:r>
              <w:rPr>
                <w:rFonts w:ascii="Times New Roman"/>
                <w:b w:val="false"/>
                <w:i w:val="false"/>
                <w:color w:val="000000"/>
                <w:sz w:val="20"/>
              </w:rPr>
              <w:t>
село Тургеновка Большевистского сельского округа - 17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1"/>
          <w:p>
            <w:pPr>
              <w:spacing w:after="20"/>
              <w:ind w:left="20"/>
              <w:jc w:val="both"/>
            </w:pPr>
            <w:r>
              <w:rPr>
                <w:rFonts w:ascii="Times New Roman"/>
                <w:b w:val="false"/>
                <w:i w:val="false"/>
                <w:color w:val="000000"/>
                <w:sz w:val="20"/>
              </w:rPr>
              <w:t>
село Степное Степного сельского округа – 8,</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село Аккарга Степного сельского округа – 2,</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Муктиколь Муктикольского сельского округа – 3,</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Волгоградское Муктикольского сельского округа – 2,</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Кусакан Большевистского сельского округа – 4,</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Шевченковка Большевистского сельского округа – 5,</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Хозрет Большевистского сельского округа – 4,</w:t>
            </w:r>
          </w:p>
          <w:p>
            <w:pPr>
              <w:spacing w:after="20"/>
              <w:ind w:left="20"/>
              <w:jc w:val="both"/>
            </w:pPr>
            <w:r>
              <w:rPr>
                <w:rFonts w:ascii="Times New Roman"/>
                <w:b w:val="false"/>
                <w:i w:val="false"/>
                <w:color w:val="000000"/>
                <w:sz w:val="20"/>
              </w:rPr>
              <w:t>
село Тасыбай Большевистского сельского округа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ТБО</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партнер/ КГП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Житикара - 205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2"/>
          <w:p>
            <w:pPr>
              <w:spacing w:after="20"/>
              <w:ind w:left="20"/>
              <w:jc w:val="both"/>
            </w:pPr>
            <w:r>
              <w:rPr>
                <w:rFonts w:ascii="Times New Roman"/>
                <w:b w:val="false"/>
                <w:i w:val="false"/>
                <w:color w:val="000000"/>
                <w:sz w:val="20"/>
              </w:rPr>
              <w:t>
Житикара – 100,</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село Пригородное – 64,</w:t>
            </w:r>
          </w:p>
          <w:p>
            <w:pPr>
              <w:spacing w:after="20"/>
              <w:ind w:left="20"/>
              <w:jc w:val="both"/>
            </w:pPr>
            <w:r>
              <w:rPr>
                <w:rFonts w:ascii="Times New Roman"/>
                <w:b w:val="false"/>
                <w:i w:val="false"/>
                <w:color w:val="000000"/>
                <w:sz w:val="20"/>
              </w:rPr>
              <w:t>
село Ырсай –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3"/>
          <w:p>
            <w:pPr>
              <w:spacing w:after="20"/>
              <w:ind w:left="20"/>
              <w:jc w:val="both"/>
            </w:pPr>
            <w:r>
              <w:rPr>
                <w:rFonts w:ascii="Times New Roman"/>
                <w:b w:val="false"/>
                <w:i w:val="false"/>
                <w:color w:val="000000"/>
                <w:sz w:val="20"/>
              </w:rPr>
              <w:t>
Житикара - 105</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село Забеловка – 68,</w:t>
            </w:r>
          </w:p>
          <w:p>
            <w:pPr>
              <w:spacing w:after="20"/>
              <w:ind w:left="20"/>
              <w:jc w:val="both"/>
            </w:pPr>
            <w:r>
              <w:rPr>
                <w:rFonts w:ascii="Times New Roman"/>
                <w:b w:val="false"/>
                <w:i w:val="false"/>
                <w:color w:val="000000"/>
                <w:sz w:val="20"/>
              </w:rPr>
              <w:t>
село Милютинка - 20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4"/>
          <w:p>
            <w:pPr>
              <w:spacing w:after="20"/>
              <w:ind w:left="20"/>
              <w:jc w:val="both"/>
            </w:pPr>
            <w:r>
              <w:rPr>
                <w:rFonts w:ascii="Times New Roman"/>
                <w:b w:val="false"/>
                <w:i w:val="false"/>
                <w:color w:val="000000"/>
                <w:sz w:val="20"/>
              </w:rPr>
              <w:t>
село Чайковское – 46,</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село Тохтарово Тохтаровского сельского округа – 20,</w:t>
            </w:r>
          </w:p>
          <w:p>
            <w:pPr>
              <w:spacing w:after="20"/>
              <w:ind w:left="20"/>
              <w:jc w:val="both"/>
            </w:pPr>
            <w:r>
              <w:rPr>
                <w:rFonts w:ascii="Times New Roman"/>
                <w:b w:val="false"/>
                <w:i w:val="false"/>
                <w:color w:val="000000"/>
                <w:sz w:val="20"/>
              </w:rPr>
              <w:t>
село Львовка Тохтаровского сельского округа –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5"/>
          <w:p>
            <w:pPr>
              <w:spacing w:after="20"/>
              <w:ind w:left="20"/>
              <w:jc w:val="both"/>
            </w:pPr>
            <w:r>
              <w:rPr>
                <w:rFonts w:ascii="Times New Roman"/>
                <w:b w:val="false"/>
                <w:i w:val="false"/>
                <w:color w:val="000000"/>
                <w:sz w:val="20"/>
              </w:rPr>
              <w:t>
село Приречное – 22,</w:t>
            </w:r>
          </w:p>
          <w:bookmarkEnd w:id="265"/>
          <w:p>
            <w:pPr>
              <w:spacing w:after="20"/>
              <w:ind w:left="20"/>
              <w:jc w:val="both"/>
            </w:pPr>
            <w:r>
              <w:rPr>
                <w:rFonts w:ascii="Times New Roman"/>
                <w:b w:val="false"/>
                <w:i w:val="false"/>
                <w:color w:val="000000"/>
                <w:sz w:val="20"/>
              </w:rPr>
              <w:t>
село Тургеновка Большевистского сельского округа - 34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66"/>
          <w:p>
            <w:pPr>
              <w:spacing w:after="20"/>
              <w:ind w:left="20"/>
              <w:jc w:val="both"/>
            </w:pPr>
            <w:r>
              <w:rPr>
                <w:rFonts w:ascii="Times New Roman"/>
                <w:b w:val="false"/>
                <w:i w:val="false"/>
                <w:color w:val="000000"/>
                <w:sz w:val="20"/>
              </w:rPr>
              <w:t>
село Степное Степного сельского округа – 16,</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село Аккарга Степного сельского округа – 4,</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Муктиколь Муктикольского сельского округа – 6,</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Волгоградское Муктикольского сельского округа - 4,</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Кусакан Большевистского сельского округа – 8,</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Шевченковка Большевистского сельского округа – 10,</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 Хозрет Большевистского сельского округа – 8,</w:t>
            </w:r>
          </w:p>
          <w:p>
            <w:pPr>
              <w:spacing w:after="20"/>
              <w:ind w:left="20"/>
              <w:jc w:val="both"/>
            </w:pPr>
            <w:r>
              <w:rPr>
                <w:rFonts w:ascii="Times New Roman"/>
                <w:b w:val="false"/>
                <w:i w:val="false"/>
                <w:color w:val="000000"/>
                <w:sz w:val="20"/>
              </w:rPr>
              <w:t>
село Тасыбай Большевистского сельского округа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конкурса ГЧП/ФЭО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партнер/ КГП</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специального автотранспорта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партнер/ КГП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 - 2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67"/>
          <w:p>
            <w:pPr>
              <w:spacing w:after="20"/>
              <w:ind w:left="20"/>
              <w:jc w:val="both"/>
            </w:pPr>
            <w:r>
              <w:rPr>
                <w:rFonts w:ascii="Times New Roman"/>
                <w:b w:val="false"/>
                <w:i w:val="false"/>
                <w:color w:val="000000"/>
                <w:sz w:val="20"/>
              </w:rPr>
              <w:t>
бульдозер - 1,</w:t>
            </w:r>
          </w:p>
          <w:bookmarkEnd w:id="267"/>
          <w:p>
            <w:pPr>
              <w:spacing w:after="20"/>
              <w:ind w:left="20"/>
              <w:jc w:val="both"/>
            </w:pPr>
            <w:r>
              <w:rPr>
                <w:rFonts w:ascii="Times New Roman"/>
                <w:b w:val="false"/>
                <w:i w:val="false"/>
                <w:color w:val="000000"/>
                <w:sz w:val="20"/>
              </w:rPr>
              <w:t>
погрузчик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 - 2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конкурса ГЧП/ФЭО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партнер/ КГП</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полигонам</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68"/>
          <w:p>
            <w:pPr>
              <w:spacing w:after="20"/>
              <w:ind w:left="20"/>
              <w:jc w:val="both"/>
            </w:pPr>
            <w:r>
              <w:rPr>
                <w:rFonts w:ascii="Times New Roman"/>
                <w:b w:val="false"/>
                <w:i w:val="false"/>
                <w:color w:val="000000"/>
                <w:sz w:val="20"/>
              </w:rPr>
              <w:t>
Закрытие ТОО "Дала"</w:t>
            </w:r>
          </w:p>
          <w:bookmarkEnd w:id="268"/>
          <w:p>
            <w:pPr>
              <w:spacing w:after="20"/>
              <w:ind w:left="20"/>
              <w:jc w:val="both"/>
            </w:pPr>
            <w:r>
              <w:rPr>
                <w:rFonts w:ascii="Times New Roman"/>
                <w:b w:val="false"/>
                <w:i w:val="false"/>
                <w:color w:val="000000"/>
                <w:sz w:val="20"/>
              </w:rPr>
              <w:t>
Муктикольский сельский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69"/>
          <w:p>
            <w:pPr>
              <w:spacing w:after="20"/>
              <w:ind w:left="20"/>
              <w:jc w:val="both"/>
            </w:pPr>
            <w:r>
              <w:rPr>
                <w:rFonts w:ascii="Times New Roman"/>
                <w:b w:val="false"/>
                <w:i w:val="false"/>
                <w:color w:val="000000"/>
                <w:sz w:val="20"/>
              </w:rPr>
              <w:t>
Закрытие ТОО "Кунар Жер"</w:t>
            </w:r>
          </w:p>
          <w:bookmarkEnd w:id="269"/>
          <w:p>
            <w:pPr>
              <w:spacing w:after="20"/>
              <w:ind w:left="20"/>
              <w:jc w:val="both"/>
            </w:pPr>
            <w:r>
              <w:rPr>
                <w:rFonts w:ascii="Times New Roman"/>
                <w:b w:val="false"/>
                <w:i w:val="false"/>
                <w:color w:val="000000"/>
                <w:sz w:val="20"/>
              </w:rPr>
              <w:t>
село Чайковское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70"/>
          <w:p>
            <w:pPr>
              <w:spacing w:after="20"/>
              <w:ind w:left="20"/>
              <w:jc w:val="both"/>
            </w:pPr>
            <w:r>
              <w:rPr>
                <w:rFonts w:ascii="Times New Roman"/>
                <w:b w:val="false"/>
                <w:i w:val="false"/>
                <w:color w:val="000000"/>
                <w:sz w:val="20"/>
              </w:rPr>
              <w:t>
Закрытие ТОО "Приречное-Агро"</w:t>
            </w:r>
          </w:p>
          <w:bookmarkEnd w:id="270"/>
          <w:p>
            <w:pPr>
              <w:spacing w:after="20"/>
              <w:ind w:left="20"/>
              <w:jc w:val="both"/>
            </w:pPr>
            <w:r>
              <w:rPr>
                <w:rFonts w:ascii="Times New Roman"/>
                <w:b w:val="false"/>
                <w:i w:val="false"/>
                <w:color w:val="000000"/>
                <w:sz w:val="20"/>
              </w:rPr>
              <w:t>
село Приречное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Модернизация существующих и строительство новых полигонов малой мощности твердых бытовых отходов, отвечающих современным требованиям санитарных правил со сложной инфраструктурой приема, сортировки и захоронения твердых бытовых отходов. Рекультивация стихийных свалок.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полигонов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партнер/ КГП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ТБО, Житикара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конкурса ГЧП/ФЭО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партнер/ КГП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стихийных свалок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стихийных свалок по мере выявления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стихийных свалок по мере выявления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стихийных свалок по мере выявления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стихийных свалок по мере выявления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стихийных свалок по мере выявления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стихийных свалок по мере выявления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Повышение осведомленности и популяризация о системе раздельного сбора отходов.</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в социальных сетях района и в местных газетах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информационных стендов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информированию общественности, работы с населением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