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182b" w14:textId="f731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акимата Костанайской области от 11 сентября 2019 года № 394 "Об утверждении Правил реализации механизмов стабилизации цен на социально значимые продовольственные товары по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14 октября 2024 года № 402. Утратило силу постановлением акимата Костанайской области от 2 июля 2026 года № 192</w:t>
      </w:r>
    </w:p>
    <w:p>
      <w:pPr>
        <w:spacing w:after="0"/>
        <w:ind w:left="0"/>
        <w:jc w:val="both"/>
      </w:pPr>
      <w:r>
        <w:rPr>
          <w:rFonts w:ascii="Times New Roman"/>
          <w:b w:val="false"/>
          <w:i w:val="false"/>
          <w:color w:val="ff0000"/>
          <w:sz w:val="28"/>
        </w:rPr>
        <w:t xml:space="preserve">
      Сноска. Утратило силу постановлением акимата Костанайской области от 02.07.2026 </w:t>
      </w:r>
      <w:r>
        <w:rPr>
          <w:rFonts w:ascii="Times New Roman"/>
          <w:b w:val="false"/>
          <w:i w:val="false"/>
          <w:color w:val="ff0000"/>
          <w:sz w:val="28"/>
        </w:rPr>
        <w:t>№ 192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Акимат Костанайской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Костанайской области "Об утверждении Правил реализации механизмов стабилизации цен на социально значимые продовольственные товары по Костанайской области" от 11 сентября 2019 года № 394 (зарегистрировано в Реестре государственной регистрации нормативных правовых актов под № 8653)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по Костанайской области,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по Костанайской области (далее – Правила) разработаны в соответствии с подпунктом 17-10)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Типовыми правилами</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(зарегистрирован в Реестре государственной регистрации нормативных правовых актов под № 19123) (далее – Типовые правила), и определяют порядок реализации механизмов стабилизации цен на социально значимые продовольственные товары.";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xml:space="preserve">
      "11. Специализированные организации представляют в местный исполнительный орган области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посредством электронного документооборота, почтовой связи, либо нарочно через канцелярию местного исполнительного органа области.</w:t>
      </w:r>
    </w:p>
    <w:bookmarkEnd w:id="4"/>
    <w:bookmarkStart w:name="z11" w:id="5"/>
    <w:p>
      <w:pPr>
        <w:spacing w:after="0"/>
        <w:ind w:left="0"/>
        <w:jc w:val="both"/>
      </w:pPr>
      <w:r>
        <w:rPr>
          <w:rFonts w:ascii="Times New Roman"/>
          <w:b w:val="false"/>
          <w:i w:val="false"/>
          <w:color w:val="000000"/>
          <w:sz w:val="28"/>
        </w:rPr>
        <w:t xml:space="preserve">
      Местный исполнительный орган области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посредством электронного документооборота.";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31-1</w:t>
      </w:r>
      <w:r>
        <w:rPr>
          <w:rFonts w:ascii="Times New Roman"/>
          <w:b w:val="false"/>
          <w:i w:val="false"/>
          <w:color w:val="000000"/>
          <w:sz w:val="28"/>
        </w:rPr>
        <w:t xml:space="preserve"> изложить в новой редакции:</w:t>
      </w:r>
    </w:p>
    <w:bookmarkStart w:name="z13" w:id="6"/>
    <w:p>
      <w:pPr>
        <w:spacing w:after="0"/>
        <w:ind w:left="0"/>
        <w:jc w:val="both"/>
      </w:pPr>
      <w:r>
        <w:rPr>
          <w:rFonts w:ascii="Times New Roman"/>
          <w:b w:val="false"/>
          <w:i w:val="false"/>
          <w:color w:val="000000"/>
          <w:sz w:val="28"/>
        </w:rPr>
        <w:t>
      "31-1.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новой редакции:</w:t>
      </w:r>
    </w:p>
    <w:bookmarkStart w:name="z15" w:id="7"/>
    <w:p>
      <w:pPr>
        <w:spacing w:after="0"/>
        <w:ind w:left="0"/>
        <w:jc w:val="both"/>
      </w:pPr>
      <w:r>
        <w:rPr>
          <w:rFonts w:ascii="Times New Roman"/>
          <w:b w:val="false"/>
          <w:i w:val="false"/>
          <w:color w:val="000000"/>
          <w:sz w:val="28"/>
        </w:rPr>
        <w:t>
      "33. Субъект предпринимательства для выдачи займа определяется Комиссией.</w:t>
      </w:r>
    </w:p>
    <w:bookmarkEnd w:id="7"/>
    <w:bookmarkStart w:name="z16" w:id="8"/>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8"/>
    <w:bookmarkStart w:name="z17" w:id="9"/>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9"/>
    <w:bookmarkStart w:name="z18" w:id="10"/>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10"/>
    <w:bookmarkStart w:name="z19" w:id="11"/>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11"/>
    <w:bookmarkStart w:name="z20" w:id="12"/>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12"/>
    <w:bookmarkStart w:name="z21" w:id="13"/>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13"/>
    <w:bookmarkStart w:name="z22" w:id="14"/>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14"/>
    <w:bookmarkStart w:name="z23" w:id="15"/>
    <w:p>
      <w:pPr>
        <w:spacing w:after="0"/>
        <w:ind w:left="0"/>
        <w:jc w:val="both"/>
      </w:pPr>
      <w:r>
        <w:rPr>
          <w:rFonts w:ascii="Times New Roman"/>
          <w:b w:val="false"/>
          <w:i w:val="false"/>
          <w:color w:val="000000"/>
          <w:sz w:val="28"/>
        </w:rPr>
        <w:t xml:space="preserve">
      7) наличие обеспечения исполнения обязательств в соответствии с </w:t>
      </w:r>
      <w:r>
        <w:rPr>
          <w:rFonts w:ascii="Times New Roman"/>
          <w:b w:val="false"/>
          <w:i w:val="false"/>
          <w:color w:val="000000"/>
          <w:sz w:val="28"/>
        </w:rPr>
        <w:t>пунктом 36</w:t>
      </w:r>
      <w:r>
        <w:rPr>
          <w:rFonts w:ascii="Times New Roman"/>
          <w:b w:val="false"/>
          <w:i w:val="false"/>
          <w:color w:val="000000"/>
          <w:sz w:val="28"/>
        </w:rPr>
        <w:t xml:space="preserve"> Правил.";</w:t>
      </w:r>
    </w:p>
    <w:bookmarkEnd w:id="15"/>
    <w:bookmarkStart w:name="z24" w:id="16"/>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37-1</w:t>
      </w:r>
      <w:r>
        <w:rPr>
          <w:rFonts w:ascii="Times New Roman"/>
          <w:b w:val="false"/>
          <w:i w:val="false"/>
          <w:color w:val="000000"/>
          <w:sz w:val="28"/>
        </w:rPr>
        <w:t xml:space="preserve"> следующего содержания:</w:t>
      </w:r>
    </w:p>
    <w:bookmarkEnd w:id="16"/>
    <w:bookmarkStart w:name="z25" w:id="17"/>
    <w:p>
      <w:pPr>
        <w:spacing w:after="0"/>
        <w:ind w:left="0"/>
        <w:jc w:val="both"/>
      </w:pPr>
      <w:r>
        <w:rPr>
          <w:rFonts w:ascii="Times New Roman"/>
          <w:b w:val="false"/>
          <w:i w:val="false"/>
          <w:color w:val="000000"/>
          <w:sz w:val="28"/>
        </w:rPr>
        <w:t>
      "37.1.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17"/>
    <w:bookmarkStart w:name="z26" w:id="18"/>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18"/>
    <w:bookmarkStart w:name="z27" w:id="19"/>
    <w:p>
      <w:pPr>
        <w:spacing w:after="0"/>
        <w:ind w:left="0"/>
        <w:jc w:val="both"/>
      </w:pPr>
      <w:r>
        <w:rPr>
          <w:rFonts w:ascii="Times New Roman"/>
          <w:b w:val="false"/>
          <w:i w:val="false"/>
          <w:color w:val="000000"/>
          <w:sz w:val="28"/>
        </w:rPr>
        <w:t>
      2. Государственному учреждению "Управление сельского хозяйства и земельных отношений акимата Костанайской области" в установленном законодательством Республики Казахстан порядке обеспечить:</w:t>
      </w:r>
    </w:p>
    <w:bookmarkEnd w:id="19"/>
    <w:bookmarkStart w:name="z28" w:id="20"/>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20"/>
    <w:bookmarkStart w:name="z29" w:id="21"/>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Костанайской области после его официального опубликования.</w:t>
      </w:r>
    </w:p>
    <w:bookmarkEnd w:id="21"/>
    <w:bookmarkStart w:name="z30" w:id="2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Костанайской области.</w:t>
      </w:r>
    </w:p>
    <w:bookmarkEnd w:id="22"/>
    <w:bookmarkStart w:name="z31" w:id="23"/>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Костанайской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