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dd37" w14:textId="660d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29 сентября 2020 года № 539 "Об утверждении Правил выпаса сельскохозяйственных животных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сентября 2024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"Об утверждении Правил выпаса сельскохозяйственных животных по Костанайской области" от 29 сентября 2020 года № 539 (зарегистрировано в Реестре государственной регистрации нормативных правовых актов под № 9480)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по Костанайской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новой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Водному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"Об утверждении Правил сенокошения и пастьбы скота на участках государственного лесного фонда" (зарегистрирован в Реестре государственной регистрации нормативных правовых актов № 12259).";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Пастбища, в том числе общественные пастбища, указанные в подпункте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ветеринарии".";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реализацию Плана и представляют ежегодный отчет о ходе его реализации органу местного самоуправления (сходу местного сообщества);".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