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a605" w14:textId="28da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26 декабря 2023 года № 15/143 "О бюджете поселков, сельских округов Осакаровского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13 сентября 2024 года № 24/227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26 декабря 2023 года № 15/143 "О бюджете поселков, сельских округов Осакаровского района на 2024-2026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193 191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58 068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135 123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208 591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- 15 400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15 400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15 400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39 146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19 146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19 773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44 196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- 5 050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5 050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5 050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56 334 тысяч тенге, в том числе 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20 100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36 234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59 214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387 192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18 060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924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368 208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397 934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-10 742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10 742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10 742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49 188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4 694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44 194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51 488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- 2 300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34 797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3 915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30 882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35 695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898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328 378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5 813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415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322 150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331 030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-2 652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2 652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43 715 тысяч тенге, в том числе по: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2 400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41 315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43 715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42 258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7 126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244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34 888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42 258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50 211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11 519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38 692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51 350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-1 139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1 139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1 139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44 031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15 394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28 637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44 751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55 343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9 687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45 656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57 514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-2 171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2 171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2 171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44 333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4 676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39 657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45 333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Жұлдыз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46 334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2 300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44 034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47 134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35 288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11 100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24 188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41 658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-6 370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6 370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6 370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50 728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4 974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45 754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52 628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1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1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2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2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2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2024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3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3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2024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3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3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4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4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2024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4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5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5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5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2024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6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6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2024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6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6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2024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7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7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7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8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2024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8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8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2024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9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9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9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9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2024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0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0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2024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0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