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6e82" w14:textId="d546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28 декабря 2023 года № 10 "О бюджетах сел, поселков и сельских округов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6 декабря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Бухар-Жырауского районного маслихата от 28 декабря 2023 года №10 "О бюджетах сел, поселков и сельских округов района на 2024-2026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550 604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91 105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2 959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456 540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553 994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3 390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123 441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108 733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44 635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64 098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110 735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2 002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42 696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743 573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77 087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545 691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120 795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751 577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8 004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0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173 312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43 674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6 763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122 875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191 763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18 451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56 118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111 499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36 537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6 584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68 378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114 185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2 686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62 789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Корнеевского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66 413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11 346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111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54 956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66 415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50 194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75 021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15 079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59 942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76 140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1 119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53 172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59 868 тысяч тенге, в том числе по: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16 525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43 343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61 491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1 623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38 725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103 874 тысяч тенге, в том числе по: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18 802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565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121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84 386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104 658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784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72 625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195 399 тысяч тенге, в том числе по: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86 674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180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1 535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107 010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202 722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7 323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47 157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доходы – 93 517 тысяч тенге, в том числе по: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7 986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85 531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93 521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31 480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39 790 тысяч тенге, в том числе по: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4 263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35 527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45 037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5 247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30 606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37 331 тысяч тенге, в том числе по: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2 049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35 282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38 015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29 227 тысяч тенге.";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56 207 тысяч тенге, в том числе по: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4 614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51 593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57 525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1 318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33 716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Ботакара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52 888 тенге, в том числе по: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5 798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418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46 672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54 238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1 350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42 893 тысяч тенге.";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Бухар-Жырауского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 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31 535 тысяч тенге, в том числе по: 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3 392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28 143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31 536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25 035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Гагаринского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55 033 тысяч тенге, в том числе по: 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2 570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52 463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55 694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38 257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63 339 тысяч тенге, в том числе по: 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5 559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57 780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65 097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1 758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36 536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70 407 тысяч тенге, в том числе по: 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7 318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63 089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70 422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48 663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47 004 тысяч тенге, в том числе по: 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6 315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40 689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47 008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35 845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52 496 тысяч тенге, в том числе по: 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8 890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440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556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42 610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54 778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2 282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39 016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61 749 тысяч тенге, в том числе по: 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17 203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44 546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63 424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1 675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40 917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"23. Утвердить бюджет Самаркандского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114 642 тысяч тенге, в том числе по: 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5 054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109 588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114 741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52 335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Суыксу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35 545 тысяч тенге, в том числе по: 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1 251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34 294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36 041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30 985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46 893 тысяч тенге, в том числе по: 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8 769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38 124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47 005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34 636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сельского округа Тузды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47 925 тысяч тенге, в том числе по: 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7 705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40 220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48 911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986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36 660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83 948 тысяч тенге, в том числе по: 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14 734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69 214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88 275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4 327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36 303 тысяч тенге.";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57 317 тысяч тенге, в том числе по: 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9 224 тысяч тенге;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48 093 тысяч тенге;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59 621 тысяч тенге;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2 304 тенге;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43 507 тысяч тенге.";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62 467 тысяч тенге, в том числе по: 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14 794 тысяч тенге;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607 тысяч тенге;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47 066 тысяч тенге;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64 447 тысяч тенге;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1 980 тенге;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42 834 тысяч тенге.";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0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2024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0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2024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1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2024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1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2024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1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2024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1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2024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22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2024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25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2024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2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2024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3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2024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3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2024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3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2024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40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2024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43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2024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46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2024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4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2024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52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2024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55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2024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58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2024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61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2024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6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2024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67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2024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7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2024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73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2024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76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2024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79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2024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82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2024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8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2024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8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2024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