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8d9" w14:textId="590b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декабря 2024 года № 27/252.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15 548 768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4 915 339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560 769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9 924 224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17 016 077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1 437 102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1 437 102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1 633 196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197 770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2025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города районного значения, сел, поселков, сельских округов, в сумме 1 088 552 тыс.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г.Абай – 549 946 тыс.тенге;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п.Топар – 28 541 тыс.тенге;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п.Карабас – 24 389 тыс.тенге;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п.Южный – 23 820 тыс.тенге;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Дубовский сельский округ – 95 648 тыс.тенге;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34 305 тыс.тенге;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Есенгельдинский сельский округ – 45 648 тыс.тенге;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сельский округ – 41 438 тыс.тенге;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Коксунский сельский округ – 26 524 тыс.тенге;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Курминский сельский округ – 21 476 тыс.тенге;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Кулаайгырский сельский округ – 48 198 тыс.тенге;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43 969 тыс.тенге;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31 160 тыс.тенге;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с.Сарепта – 35 844 тыс.тенге;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с.Юбилейное – 37 646 тыс.тенге.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2025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2025 год в сумме 60 000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27/252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