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a0fc" w14:textId="45da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формы, предназначенной для сбора административных данных "Сведения о доле соблюдения принципов прозрачности в упорядочении ономастических наименований"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31 декабря 2024 года № 645-НҚ.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314)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форму, предназначенную для сбора административных данных "Сведения о доле соблюдения принципов прозрачности в упорядочении ономастических наименований",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архивов, документации и книжного дела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подписания настоящего приказа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информации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       Представляется: в Комитет архивов, документации и книжного дела Министерства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культуры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Форма, предназначенная для сбора административных данных на безвозмездной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основе размещена на интернет – ресурсе: www.mam.gov.kz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административной формы: "Сведения о доле соблюдения принципов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прозрачности в упорядочении ономастических наименований"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Индекс формы, предназначенной для сбора административных данных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безвозмездной основе: № ГТ-1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Отчетный период: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Круг лиц, представляющих форму, предназначенную для сбора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на безвозмездной основе: местные исполнительные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представления формы,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основе: до 1 декабря (включительно) после отчетного периода.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       Метод сбора: в электронном виде.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доле соблюдения принципов прозрачности в упорядочении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ономастических наименований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областей, города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измененных названий населенных пунктов и их составных частей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населения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участвовавшего, на публичных слушаниях населения соответствующей территории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населения соответствующей территории, поддержавшее наименование и переименование ономастических объектов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населения соответствующей территории, не поддержавшее наименование и переименование ономастических объектов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соблюдения принципов прозрачности в упорядочении ономастических наименований%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(город)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bookmarkStart w:name="z23" w:id="15"/>
      <w:r>
        <w:rPr>
          <w:rFonts w:ascii="Times New Roman"/>
          <w:b w:val="false"/>
          <w:i w:val="false"/>
          <w:color w:val="000000"/>
          <w:sz w:val="28"/>
        </w:rPr>
        <w:t>
             Наименование ________________________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 подпись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 подпись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для печати (за исключением лиц, являющихся субъектами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"Сведение о доле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соблюдения принципов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прозрачности в упорядочении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ономастических наименований"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"Сведения о доле соблюдения принципов прозрачности в упорядочении ономастических наименований" (индекс: № ГТ-1, периодичность – годовая)</w:t>
      </w:r>
    </w:p>
    <w:bookmarkEnd w:id="16"/>
    <w:p>
      <w:pPr>
        <w:spacing w:after="0"/>
        <w:ind w:left="0"/>
        <w:jc w:val="both"/>
      </w:pPr>
      <w:bookmarkStart w:name="z26" w:id="17"/>
      <w:r>
        <w:rPr>
          <w:rFonts w:ascii="Times New Roman"/>
          <w:b w:val="false"/>
          <w:i w:val="false"/>
          <w:color w:val="000000"/>
          <w:sz w:val="28"/>
        </w:rPr>
        <w:t>
             В графе 1 указывается порядковый номер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графе 2 указывается название области, города, код области, города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классификатору административно-территориальных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графе 3 указывается общее количество измененных названий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графе 4 указывается общая численность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графе 5 указывается количество населения (лиц) соответствующей территории,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участвовавших на публичных слушаниях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графе 6 указывается количество населения (лиц) соответствующей территории,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поддержавших наименование и переименование ономастических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графе 7 указывается количество населения (лиц) соответствующей территории,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поддержавших наименование и переименование ономастических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графе 8 указывается доля соблюдения принципов прозрачности (по формуле)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Формула расчета (единица измерения: "% – (процент)"):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18288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8" w:id="19"/>
      <w:r>
        <w:rPr>
          <w:rFonts w:ascii="Times New Roman"/>
          <w:b w:val="false"/>
          <w:i w:val="false"/>
          <w:color w:val="000000"/>
          <w:sz w:val="28"/>
        </w:rPr>
        <w:t>
             A – доля соблюдения принципов прозрачности в упорядочении ономастических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X – количество жителей, присутствовавших на собрании (данные местных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исполнительных органов);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V – общее количество жителей населенного пункта и их составных частей (данные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местных исполнительных органов).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