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2e3b" w14:textId="9802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Каратальскому району на 2024-2025 годы</w:t>
      </w:r>
    </w:p>
    <w:p>
      <w:pPr>
        <w:spacing w:after="0"/>
        <w:ind w:left="0"/>
        <w:jc w:val="both"/>
      </w:pPr>
      <w:r>
        <w:rPr>
          <w:rFonts w:ascii="Times New Roman"/>
          <w:b w:val="false"/>
          <w:i w:val="false"/>
          <w:color w:val="000000"/>
          <w:sz w:val="28"/>
        </w:rPr>
        <w:t>Решение Каратальского районного маслихата области Жетісу от 24 апреля 2024 года № 20-77</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пастбищах" Каратальский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Каратальскому району на 2024-2025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Каратальского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2024 года № 20-77</w:t>
            </w:r>
          </w:p>
        </w:tc>
      </w:tr>
    </w:tbl>
    <w:bookmarkStart w:name="z14" w:id="3"/>
    <w:p>
      <w:pPr>
        <w:spacing w:after="0"/>
        <w:ind w:left="0"/>
        <w:jc w:val="left"/>
      </w:pPr>
      <w:r>
        <w:rPr>
          <w:rFonts w:ascii="Times New Roman"/>
          <w:b/>
          <w:i w:val="false"/>
          <w:color w:val="000000"/>
        </w:rPr>
        <w:t xml:space="preserve"> План по управлению пастбищами и их использованию по Каратальскому району на 2024-2025 годы</w:t>
      </w:r>
    </w:p>
    <w:bookmarkEnd w:id="3"/>
    <w:bookmarkStart w:name="z15" w:id="4"/>
    <w:p>
      <w:pPr>
        <w:spacing w:after="0"/>
        <w:ind w:left="0"/>
        <w:jc w:val="both"/>
      </w:pPr>
      <w:r>
        <w:rPr>
          <w:rFonts w:ascii="Times New Roman"/>
          <w:b w:val="false"/>
          <w:i w:val="false"/>
          <w:color w:val="000000"/>
          <w:sz w:val="28"/>
        </w:rPr>
        <w:t xml:space="preserve">
      Настояший План по управлению пастбищами и их использованию по Каратальскому району на 2024-2025 годы (далее - План) разработан в соответствии с Законом Республики Казахстан от 20 февраля 2017 года "О пастбищах", приказом Заместителя Премьер-Министра Республики Казахстан-Министра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 xml:space="preserve"> "Об утверждении Правил рационального использования пастбищ" (зарегистрирован в Реестре государственной регистрации нормативных правовых актов № 15090),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4"/>
    <w:bookmarkStart w:name="z16"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7" w:id="6"/>
    <w:p>
      <w:pPr>
        <w:spacing w:after="0"/>
        <w:ind w:left="0"/>
        <w:jc w:val="both"/>
      </w:pPr>
      <w:r>
        <w:rPr>
          <w:rFonts w:ascii="Times New Roman"/>
          <w:b w:val="false"/>
          <w:i w:val="false"/>
          <w:color w:val="000000"/>
          <w:sz w:val="28"/>
        </w:rPr>
        <w:t>
      План содержит:</w:t>
      </w:r>
    </w:p>
    <w:bookmarkEnd w:id="6"/>
    <w:bookmarkStart w:name="z18" w:id="7"/>
    <w:p>
      <w:pPr>
        <w:spacing w:after="0"/>
        <w:ind w:left="0"/>
        <w:jc w:val="both"/>
      </w:pPr>
      <w:r>
        <w:rPr>
          <w:rFonts w:ascii="Times New Roman"/>
          <w:b w:val="false"/>
          <w:i w:val="false"/>
          <w:color w:val="000000"/>
          <w:sz w:val="28"/>
        </w:rPr>
        <w:t xml:space="preserve">
      1. схему (карту) расположения пастбищ на территории административно-территориальной единицы в разрезе категории земель, собствеников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7"/>
    <w:bookmarkStart w:name="z19" w:id="8"/>
    <w:p>
      <w:pPr>
        <w:spacing w:after="0"/>
        <w:ind w:left="0"/>
        <w:jc w:val="both"/>
      </w:pPr>
      <w:r>
        <w:rPr>
          <w:rFonts w:ascii="Times New Roman"/>
          <w:b w:val="false"/>
          <w:i w:val="false"/>
          <w:color w:val="000000"/>
          <w:sz w:val="28"/>
        </w:rPr>
        <w:t xml:space="preserve">
      2. приемлемую схему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20" w:id="9"/>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9"/>
    <w:bookmarkStart w:name="z21" w:id="10"/>
    <w:p>
      <w:pPr>
        <w:spacing w:after="0"/>
        <w:ind w:left="0"/>
        <w:jc w:val="both"/>
      </w:pPr>
      <w:r>
        <w:rPr>
          <w:rFonts w:ascii="Times New Roman"/>
          <w:b w:val="false"/>
          <w:i w:val="false"/>
          <w:color w:val="000000"/>
          <w:sz w:val="28"/>
        </w:rPr>
        <w:t xml:space="preserve">
      4. схему доступа пастбищепользователей к водоистчникам (озерам, рекам, прудам, копаням, оросительным или обводительными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0"/>
    <w:bookmarkStart w:name="z22"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5</w:t>
      </w:r>
      <w:r>
        <w:rPr>
          <w:rFonts w:ascii="Times New Roman"/>
          <w:b w:val="false"/>
          <w:i w:val="false"/>
          <w:color w:val="000000"/>
          <w:sz w:val="28"/>
        </w:rPr>
        <w:t xml:space="preserve"> к настоящему Плану;</w:t>
      </w:r>
    </w:p>
    <w:bookmarkEnd w:id="11"/>
    <w:bookmarkStart w:name="z23"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не обеспеченных пастбищами, расположенными при селе, сельском округе, согласно </w:t>
      </w:r>
      <w:r>
        <w:rPr>
          <w:rFonts w:ascii="Times New Roman"/>
          <w:b w:val="false"/>
          <w:i w:val="false"/>
          <w:color w:val="000000"/>
          <w:sz w:val="28"/>
        </w:rPr>
        <w:t>приложеню 6</w:t>
      </w:r>
      <w:r>
        <w:rPr>
          <w:rFonts w:ascii="Times New Roman"/>
          <w:b w:val="false"/>
          <w:i w:val="false"/>
          <w:color w:val="000000"/>
          <w:sz w:val="28"/>
        </w:rPr>
        <w:t xml:space="preserve"> к настоящему Плану;</w:t>
      </w:r>
    </w:p>
    <w:bookmarkEnd w:id="12"/>
    <w:bookmarkStart w:name="z24" w:id="13"/>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3"/>
    <w:bookmarkStart w:name="z25"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обьектах,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w:t>
      </w:r>
    </w:p>
    <w:bookmarkEnd w:id="14"/>
    <w:bookmarkStart w:name="z26" w:id="15"/>
    <w:p>
      <w:pPr>
        <w:spacing w:after="0"/>
        <w:ind w:left="0"/>
        <w:jc w:val="both"/>
      </w:pPr>
      <w:r>
        <w:rPr>
          <w:rFonts w:ascii="Times New Roman"/>
          <w:b w:val="false"/>
          <w:i w:val="false"/>
          <w:color w:val="000000"/>
          <w:sz w:val="28"/>
        </w:rPr>
        <w:t>
      7.1 экспликация возвращаемых пастбищных угодий сельскохозяйственного назначения для государственных нужд в зависимости от местных условий и особенностей Каратальского района на основании карты пастбищ, определяемой внешними и внутренними границами и площадями, необходимыми для выпаса сельскохозяйственных животных в частном подворье, удовлетворения потребностей населения.</w:t>
      </w:r>
    </w:p>
    <w:bookmarkEnd w:id="15"/>
    <w:bookmarkStart w:name="z27" w:id="16"/>
    <w:p>
      <w:pPr>
        <w:spacing w:after="0"/>
        <w:ind w:left="0"/>
        <w:jc w:val="both"/>
      </w:pPr>
      <w:r>
        <w:rPr>
          <w:rFonts w:ascii="Times New Roman"/>
          <w:b w:val="false"/>
          <w:i w:val="false"/>
          <w:color w:val="000000"/>
          <w:sz w:val="28"/>
        </w:rPr>
        <w:t>
       Администиративно-территориальное деление района состоит из 1 города, 9 сельских округов, 34 сельских населенных пунктов.</w:t>
      </w:r>
    </w:p>
    <w:bookmarkEnd w:id="16"/>
    <w:bookmarkStart w:name="z28" w:id="17"/>
    <w:p>
      <w:pPr>
        <w:spacing w:after="0"/>
        <w:ind w:left="0"/>
        <w:jc w:val="both"/>
      </w:pPr>
      <w:r>
        <w:rPr>
          <w:rFonts w:ascii="Times New Roman"/>
          <w:b w:val="false"/>
          <w:i w:val="false"/>
          <w:color w:val="000000"/>
          <w:sz w:val="28"/>
        </w:rPr>
        <w:t>
      Общая площадь земель Каратальского района 2422,222 тысяч гектаров, из них пастбищные земли 465,992 тысяча гектаров.</w:t>
      </w:r>
    </w:p>
    <w:bookmarkEnd w:id="17"/>
    <w:bookmarkStart w:name="z29"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30" w:id="19"/>
    <w:p>
      <w:pPr>
        <w:spacing w:after="0"/>
        <w:ind w:left="0"/>
        <w:jc w:val="both"/>
      </w:pPr>
      <w:r>
        <w:rPr>
          <w:rFonts w:ascii="Times New Roman"/>
          <w:b w:val="false"/>
          <w:i w:val="false"/>
          <w:color w:val="000000"/>
          <w:sz w:val="28"/>
        </w:rPr>
        <w:t>
      земли сельскохозяйственного назначения – 494,300 тысяч гектаров;</w:t>
      </w:r>
    </w:p>
    <w:bookmarkEnd w:id="19"/>
    <w:bookmarkStart w:name="z31" w:id="20"/>
    <w:p>
      <w:pPr>
        <w:spacing w:after="0"/>
        <w:ind w:left="0"/>
        <w:jc w:val="both"/>
      </w:pPr>
      <w:r>
        <w:rPr>
          <w:rFonts w:ascii="Times New Roman"/>
          <w:b w:val="false"/>
          <w:i w:val="false"/>
          <w:color w:val="000000"/>
          <w:sz w:val="28"/>
        </w:rPr>
        <w:t>
      земли населенных пунктов – 29,71 тысяч гектаров;</w:t>
      </w:r>
    </w:p>
    <w:bookmarkEnd w:id="20"/>
    <w:bookmarkStart w:name="z32" w:id="2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2,3 тысячи гектаров;</w:t>
      </w:r>
    </w:p>
    <w:bookmarkEnd w:id="21"/>
    <w:bookmarkStart w:name="z33" w:id="22"/>
    <w:p>
      <w:pPr>
        <w:spacing w:after="0"/>
        <w:ind w:left="0"/>
        <w:jc w:val="both"/>
      </w:pPr>
      <w:r>
        <w:rPr>
          <w:rFonts w:ascii="Times New Roman"/>
          <w:b w:val="false"/>
          <w:i w:val="false"/>
          <w:color w:val="000000"/>
          <w:sz w:val="28"/>
        </w:rPr>
        <w:t>
      земли лесного фонда – 765,397 тысяч гектаров;</w:t>
      </w:r>
    </w:p>
    <w:bookmarkEnd w:id="22"/>
    <w:bookmarkStart w:name="z34" w:id="23"/>
    <w:p>
      <w:pPr>
        <w:spacing w:after="0"/>
        <w:ind w:left="0"/>
        <w:jc w:val="both"/>
      </w:pPr>
      <w:r>
        <w:rPr>
          <w:rFonts w:ascii="Times New Roman"/>
          <w:b w:val="false"/>
          <w:i w:val="false"/>
          <w:color w:val="000000"/>
          <w:sz w:val="28"/>
        </w:rPr>
        <w:t>
      земли водного фонда – 1,153 тысячи гектаров;</w:t>
      </w:r>
    </w:p>
    <w:bookmarkEnd w:id="23"/>
    <w:bookmarkStart w:name="z35" w:id="24"/>
    <w:p>
      <w:pPr>
        <w:spacing w:after="0"/>
        <w:ind w:left="0"/>
        <w:jc w:val="both"/>
      </w:pPr>
      <w:r>
        <w:rPr>
          <w:rFonts w:ascii="Times New Roman"/>
          <w:b w:val="false"/>
          <w:i w:val="false"/>
          <w:color w:val="000000"/>
          <w:sz w:val="28"/>
        </w:rPr>
        <w:t>
      земли запаса – 1 128 832 тысяч гектаров.</w:t>
      </w:r>
    </w:p>
    <w:bookmarkEnd w:id="24"/>
    <w:bookmarkStart w:name="z36" w:id="25"/>
    <w:p>
      <w:pPr>
        <w:spacing w:after="0"/>
        <w:ind w:left="0"/>
        <w:jc w:val="both"/>
      </w:pPr>
      <w:r>
        <w:rPr>
          <w:rFonts w:ascii="Times New Roman"/>
          <w:b w:val="false"/>
          <w:i w:val="false"/>
          <w:color w:val="000000"/>
          <w:sz w:val="28"/>
        </w:rPr>
        <w:t>
      Климат района континентальный. Годовое количество атмосферных осадков на равнинной территории 150-260 мм, в горных районах 350-550 мм. Средние температуры в январе -12-16°С, в июле +18+23°С.</w:t>
      </w:r>
    </w:p>
    <w:bookmarkEnd w:id="25"/>
    <w:bookmarkStart w:name="z37" w:id="26"/>
    <w:p>
      <w:pPr>
        <w:spacing w:after="0"/>
        <w:ind w:left="0"/>
        <w:jc w:val="both"/>
      </w:pPr>
      <w:r>
        <w:rPr>
          <w:rFonts w:ascii="Times New Roman"/>
          <w:b w:val="false"/>
          <w:i w:val="false"/>
          <w:color w:val="000000"/>
          <w:sz w:val="28"/>
        </w:rPr>
        <w:t>
      На равнине распространены серо-бурые полупустынные почвы, в предгорьях светло-каштановые и черноземные.</w:t>
      </w:r>
    </w:p>
    <w:bookmarkEnd w:id="26"/>
    <w:bookmarkStart w:name="z38" w:id="27"/>
    <w:p>
      <w:pPr>
        <w:spacing w:after="0"/>
        <w:ind w:left="0"/>
        <w:jc w:val="both"/>
      </w:pPr>
      <w:r>
        <w:rPr>
          <w:rFonts w:ascii="Times New Roman"/>
          <w:b w:val="false"/>
          <w:i w:val="false"/>
          <w:color w:val="000000"/>
          <w:sz w:val="28"/>
        </w:rPr>
        <w:t>
      На территории района протекают река - Каратал.</w:t>
      </w:r>
    </w:p>
    <w:bookmarkEnd w:id="27"/>
    <w:bookmarkStart w:name="z39" w:id="28"/>
    <w:p>
      <w:pPr>
        <w:spacing w:after="0"/>
        <w:ind w:left="0"/>
        <w:jc w:val="both"/>
      </w:pPr>
      <w:r>
        <w:rPr>
          <w:rFonts w:ascii="Times New Roman"/>
          <w:b w:val="false"/>
          <w:i w:val="false"/>
          <w:color w:val="000000"/>
          <w:sz w:val="28"/>
        </w:rPr>
        <w:t>
      Насчитывается примерно 109 видов широко распространенных цветковых растений, относящихся к 24 семействам и 85 родам. Наибольшее распространение получили три семейства: злаковые, сложноцветные и маревые.</w:t>
      </w:r>
    </w:p>
    <w:bookmarkEnd w:id="28"/>
    <w:bookmarkStart w:name="z40" w:id="29"/>
    <w:p>
      <w:pPr>
        <w:spacing w:after="0"/>
        <w:ind w:left="0"/>
        <w:jc w:val="both"/>
      </w:pPr>
      <w:r>
        <w:rPr>
          <w:rFonts w:ascii="Times New Roman"/>
          <w:b w:val="false"/>
          <w:i w:val="false"/>
          <w:color w:val="000000"/>
          <w:sz w:val="28"/>
        </w:rPr>
        <w:t>
      Средняя урожайность пастбищных угодий составляет 3,5 центнер/гектар.</w:t>
      </w:r>
    </w:p>
    <w:bookmarkEnd w:id="29"/>
    <w:bookmarkStart w:name="z41" w:id="30"/>
    <w:p>
      <w:pPr>
        <w:spacing w:after="0"/>
        <w:ind w:left="0"/>
        <w:jc w:val="both"/>
      </w:pPr>
      <w:r>
        <w:rPr>
          <w:rFonts w:ascii="Times New Roman"/>
          <w:b w:val="false"/>
          <w:i w:val="false"/>
          <w:color w:val="000000"/>
          <w:sz w:val="28"/>
        </w:rPr>
        <w:t>
      Фонд кормов пастбищ используется в пастбищный период продолжительностью 180-210 дней.</w:t>
      </w:r>
    </w:p>
    <w:bookmarkEnd w:id="30"/>
    <w:bookmarkStart w:name="z42" w:id="31"/>
    <w:p>
      <w:pPr>
        <w:spacing w:after="0"/>
        <w:ind w:left="0"/>
        <w:jc w:val="both"/>
      </w:pPr>
      <w:r>
        <w:rPr>
          <w:rFonts w:ascii="Times New Roman"/>
          <w:b w:val="false"/>
          <w:i w:val="false"/>
          <w:color w:val="000000"/>
          <w:sz w:val="28"/>
        </w:rPr>
        <w:t>
      По Каратальскому району по всем категориям хозяйств имеются 44 577 голов маточного поголовья крупного рогатого скота, 108 961 голов маточного поголовья мелкого рогатого скота (овец, козы), 10 811 голов конематки, 141 голов верблюдоматки и 92 592 птиц.</w:t>
      </w:r>
    </w:p>
    <w:bookmarkEnd w:id="31"/>
    <w:bookmarkStart w:name="z43" w:id="32"/>
    <w:p>
      <w:pPr>
        <w:spacing w:after="0"/>
        <w:ind w:left="0"/>
        <w:jc w:val="both"/>
      </w:pPr>
      <w:r>
        <w:rPr>
          <w:rFonts w:ascii="Times New Roman"/>
          <w:b w:val="false"/>
          <w:i w:val="false"/>
          <w:color w:val="000000"/>
          <w:sz w:val="28"/>
        </w:rPr>
        <w:t>
       В Каратальском районе действуют 10 ветеринарных пунктов, 10 пунктов для искусственного осеменения и 9 скотомогильников.</w:t>
      </w:r>
    </w:p>
    <w:bookmarkEnd w:id="32"/>
    <w:bookmarkStart w:name="z44"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4676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4168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7724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724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4676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4168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4676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Каратальского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2024 года № 20-77</w:t>
            </w:r>
          </w:p>
        </w:tc>
      </w:tr>
    </w:tbl>
    <w:bookmarkStart w:name="z53" w:id="3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и передвижения сельскохозяйственных животных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перегона скота на пастбища и возврата скота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марта ІІ-декада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ІІ-декада мая</w:t>
            </w:r>
          </w:p>
          <w:bookmarkEnd w:id="40"/>
          <w:p>
            <w:pPr>
              <w:spacing w:after="20"/>
              <w:ind w:left="20"/>
              <w:jc w:val="both"/>
            </w:pPr>
            <w:r>
              <w:rPr>
                <w:rFonts w:ascii="Times New Roman"/>
                <w:b w:val="false"/>
                <w:i w:val="false"/>
                <w:color w:val="000000"/>
                <w:sz w:val="20"/>
              </w:rPr>
              <w:t>
ІІ-декада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ІІ-декада октября</w:t>
            </w:r>
          </w:p>
          <w:bookmarkEnd w:id="41"/>
          <w:p>
            <w:pPr>
              <w:spacing w:after="20"/>
              <w:ind w:left="20"/>
              <w:jc w:val="both"/>
            </w:pPr>
            <w:r>
              <w:rPr>
                <w:rFonts w:ascii="Times New Roman"/>
                <w:b w:val="false"/>
                <w:i w:val="false"/>
                <w:color w:val="000000"/>
                <w:sz w:val="20"/>
              </w:rPr>
              <w:t>
ІІІ-декада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xml:space="preserve">
ІІІ-декада ноября </w:t>
            </w:r>
          </w:p>
          <w:bookmarkEnd w:id="42"/>
          <w:p>
            <w:pPr>
              <w:spacing w:after="20"/>
              <w:ind w:left="20"/>
              <w:jc w:val="both"/>
            </w:pPr>
            <w:r>
              <w:rPr>
                <w:rFonts w:ascii="Times New Roman"/>
                <w:b w:val="false"/>
                <w:i w:val="false"/>
                <w:color w:val="000000"/>
                <w:sz w:val="20"/>
              </w:rPr>
              <w:t>
ІІ-декада марта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марта ІІ-декада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ІІ-декада мая</w:t>
            </w:r>
          </w:p>
          <w:bookmarkEnd w:id="43"/>
          <w:p>
            <w:pPr>
              <w:spacing w:after="20"/>
              <w:ind w:left="20"/>
              <w:jc w:val="both"/>
            </w:pPr>
            <w:r>
              <w:rPr>
                <w:rFonts w:ascii="Times New Roman"/>
                <w:b w:val="false"/>
                <w:i w:val="false"/>
                <w:color w:val="000000"/>
                <w:sz w:val="20"/>
              </w:rPr>
              <w:t>
ІІ-декада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ІІ-декада октября</w:t>
            </w:r>
          </w:p>
          <w:bookmarkEnd w:id="44"/>
          <w:p>
            <w:pPr>
              <w:spacing w:after="20"/>
              <w:ind w:left="20"/>
              <w:jc w:val="both"/>
            </w:pPr>
            <w:r>
              <w:rPr>
                <w:rFonts w:ascii="Times New Roman"/>
                <w:b w:val="false"/>
                <w:i w:val="false"/>
                <w:color w:val="000000"/>
                <w:sz w:val="20"/>
              </w:rPr>
              <w:t>
ІІІ-декада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xml:space="preserve">
ІІІ-декада ноября </w:t>
            </w:r>
          </w:p>
          <w:bookmarkEnd w:id="45"/>
          <w:p>
            <w:pPr>
              <w:spacing w:after="20"/>
              <w:ind w:left="20"/>
              <w:jc w:val="both"/>
            </w:pPr>
            <w:r>
              <w:rPr>
                <w:rFonts w:ascii="Times New Roman"/>
                <w:b w:val="false"/>
                <w:i w:val="false"/>
                <w:color w:val="000000"/>
                <w:sz w:val="20"/>
              </w:rPr>
              <w:t>
ІІ-декада марта</w:t>
            </w:r>
          </w:p>
        </w:tc>
      </w:tr>
    </w:tbl>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4168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168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7216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216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4676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7216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216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5184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184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4168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168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4168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168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4676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676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