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7452" w14:textId="7247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 сопровождения грантового финансирования коммерциализации результатов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ноября 2024 года № 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111-6)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 сопровождения грантового финансирования коммерциализации результатов научной и (или) научно-технической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 сопровождения грантового финансирования коммерциализации результатов научной и (или) научно-технической деятельности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 сопровождения грантового финансирования коммерциализации результатов научной и (или) научно-технической деятельности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111-6)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в целях определения стоимости услуг по предоставлению грантов на коммерциализацию результатов научной и (или) научно-технической деятельности.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науки – юридическое лицо в форме акционерного общества со стопроцентным участием государства;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грант на коммерциализацию результатов научной и (или) научно-технической деятельности – средства, предоставляемые на безвозмездной и безвозвратной основе для реализации проектов коммерциализации результатов научной и (или) научно-технической деятельности в рамках приоритетных секторов экономики;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услуга – деятельность Фонда науки, оказываемая в рамках грантового финансирования коммерциализации результатов научной и (или) научно-технической деятельности (далее – РННТД);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– объем ресурсов, используемый в деятельности Фонда науки, необходимый для обеспечения координации и осуществления процесса оказания услуги.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услуг, оказываемых в рамках предоставления грантов на коммерциализацию результатов научной и (или) научно-технической деятельности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стоимости услуг сопровождения грантового финансирования коммерциализации используются следующие общие показатели: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(далее – БДО),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(далее – МРП), установленный законом о республиканском бюджете на 1 января 2024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общей стоимости услуг, оказываемых в рамках предоставления грантов на коммерциализацию РННТД применяется следующая формула: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C × ((Qр1 + … + Qрn) + Qп),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общая стоимость услуг, оказываемых в рамках предоставления грантов на коммерциализацию РННТД в финансовом году,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себестоимость продвижения и реализация 1 (один) проекта в финансовом году,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Qр1, Qрn – количество реализуемых проектов предыдущих конкурсов в финансовом году, ед;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 – количество планируемых в реализацию проектов нового конкурса в финансовом году, ед.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Себестоимость продвижения и реализации одного проекта включает оплату труда работников с учетом налогов и других обязательных платежей в бюджет, сопутствующие затраты, необходимые для выполнения основной функции и обеспечения деятельности Фонда науки, а также фиксированные затраты, согласно приложению.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Себестоимость рассчитывается как сумма всех затрат для оказания продвижения и реализации 1 проекта в финансовом году.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= (W + X + Z) *1,12,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- себестоимость всех затрат Фонда науки необходимых для продвижения и реализации 1 (один) проекта в финансовом году,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оплату труда работников с учетом налогов и других обязательных платежей в бюджет,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сопутствующие затраты в размере 97 МРП,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фиксированные затраты 26 МРП,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1,12 – коэффициент налога на добавленную стоимость (НДС) рассчитан с учетом установленной ставки НДС (12%).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труда работников в год, рассчитывается с учетом налогов и других обязательных платежей в бюджет.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БДО*f*sno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 в размере 17 697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отношения годового фонда оплаты труда к БДО – 76;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- коэффициент налогов и отчислений на налогооблагаемый фонд оплаты труда, составляющий по годам: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= 1,1518;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= 1,1618;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= 1,1718;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= 1,1768.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сопутствующим затратам, относятся: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затраты. Материальные затраты включают в себя, расходы на канцелярские принадлежности и товарно-материальные ценности;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командировки внутри страны. Расходы на служебные командировки внутри страны, связанные с выездом в регионы для разъяснения норм законодательства, конкурсной документации, а также выездного анализа целевого использования выделенных средств по проектам, и ознакомления с ходом реализации проектов.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служебные командировки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расходы. Прочие расходы включают в себя затраты на приобретение товаров, относящиеся к основным средствам, расходным материалам, аренде автотранспорта, приобретению прочих товаров и услуг, износу (амортизации) основных средств, используемых для сопровождения проекта, текущему ремонту организационной техники, работы (услуги), полученные от поставщиков и подрядчиков, а также информационно-разъяснительной работе, популяризации коммерциализации РННТД в средствах массовой информации, организации и проведению семинаров и обоснованных расходов, связанные с выполнением услуги и одобренные администратором бюджетных программ.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фиксированным затратам, относятся: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телекоммуникационные услуги включают расходы по почтовой связи, интернет, телефония;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аренда офисных помещений для размещения работников, используемая для выполнения услуг в рамках сопровождения проектов, в случае их отсутствия на балансе организации.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акций, которых принадлежат государству, и товариществ с ограниченной ответственностью, размеры государственных долей участия, в которых позволяют государству определять решения общего собрания участников, с целью их оптимизации".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общей стоимости услуги в зависимости от количества проектов применяются поправочные коэффициенты: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200 до 250 проектов – 1;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250 до 300 – 0,9;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300 до 350 – 0,8.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 себестоимости сопровождения 1 проекта в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трудочаса/цена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 с учетом налогов и других обязательных платежей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основного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административно-управленческого персонала (АУП)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обязательные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Фиксируемые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помещений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