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7452" w14:textId="7247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 сопровождения грантового финансирования коммерциализации результатов 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26 ноября 2024 года № 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111-6)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 сопровождения грантового финансирования коммерциализации результатов научной и (или) научно-технической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 сопровождения грантового финансирования коммерциализации результатов научной и (или) научно-технической деятельности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 сопровождения грантового финансирования коммерциализации результатов научной и (или) научно-технической деятельности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111-6)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в целях определения стоимости услуг по предоставлению грантов на коммерциализацию результатов научной и (или) научно-технической деятельности.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науки – юридическое лицо в форме акционерного общества со стопроцентным участием государства;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грант на коммерциализацию результатов научной и (или) научно-технической деятельности – средства, предоставляемые на безвозмездной и безвозвратной основе для реализации проектов коммерциализации результатов научной и (или) научно-технической деятельности в рамках приоритетных секторов экономики;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услуга – деятельность Фонда науки, оказываемая в рамках грантового финансирования коммерциализации результатов научной и (или) научно-технической деятельности (далее – РННТД);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– объем ресурсов, используемый в деятельности Фонда науки, необходимый для обеспечения координации и осуществления процесса оказания услуги.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стоимости услуг, оказываемых в рамках предоставления грантов на коммерциализацию результатов научной и (или) научно-технической деятельности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расчете стоимости услуг сопровождения грантового финансирования коммерциализации используются следующие общие показатели: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должностной оклад (далее – БДО),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(далее – МРП), установленный законом о республиканском бюджете на 1 января 2024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общей стоимости услуг, оказываемых в рамках предоставления грантов на коммерциализацию РННТД применяется следующая формула: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C × ((Qр1 + … + Qрn) + Qп),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общая стоимость услуг, оказываемых в рамках предоставления грантов на коммерциализацию РННТД в финансовом году,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себестоимость продвижения и реализация 1 (один) проекта в финансовом году,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Qр1, Qрn – количество реализуемых проектов предыдущих конкурсов в финансовом году, ед;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 – количество планируемых в реализацию проектов нового конкурса в финансовом году, ед.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Себестоимость продвижения и реализации одного проекта включает оплату труда работников с учетом налогов и других обязательных платежей в бюджет, сопутствующие затраты, необходимые для выполнения основной функции и обеспечения деятельности Фонда науки, а также фиксированные затраты, согласно приложению.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Себестоимость рассчитывается как сумма всех затрат для оказания продвижения и реализации 1 проекта в финансовом году.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= (W + X + Z) *1,12,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- себестоимость всех затрат Фонда науки необходимых для продвижения и реализации 1 (один) проекта в финансовом году,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оплату труда работников с учетом налогов и других обязательных платежей в бюджет,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сопутствующие затраты в размере 97 МРП,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фиксированные затраты 26 МРП,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1,12 – коэффициент налога на добавленную стоимость (НДС) рассчитан с учетом установленной ставки НДС (12%).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труда работников в год, рассчитывается с учетом налогов и других обязательных платежей в бюджет.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БДО*f*sno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БДО – базовый должностной оклад в размере 17 697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отношения годового фонда оплаты труда к БДО – 76;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- коэффициент налогов и отчислений на налогооблагаемый фонд оплаты труда, составляющий по годам: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= 1,1518;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= 1,1618;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= 1,1718;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= 1,1768.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сопутствующим затратам, относятся: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затраты. Материальные затраты включают в себя, расходы на канцелярские принадлежности и товарно-материальные ценности;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командировки внутри страны. Расходы на служебные командировки внутри страны, связанные с выездом в регионы для разъяснения норм законодательства, конкурсной документации, а также выездного анализа целевого использования выделенных средств по проектам, и ознакомления с ходом реализации проектов.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служебные командировки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расходы. Прочие расходы включают в себя затраты на приобретение товаров, относящиеся к основным средствам, расходным материалам, аренде автотранспорта, приобретению прочих товаров и услуг, износу (амортизации) основных средств, используемых для сопровождения проекта, текущему ремонту организационной техники, работы (услуги), полученные от поставщиков и подрядчиков, а также информационно-разъяснительной работе, популяризации коммерциализации РННТД в средствах массовой информации, организации и проведению семинаров и обоснованных расходов, связанные с выполнением услуги и одобренные администратором бюджетных программ.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фиксированным затратам, относятся: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телекоммуникационные услуги включают расходы по почтовой связи, интернет, телефония;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аренда офисных помещений для размещения работников, используемая для выполнения услуг в рамках сопровождения проектов, в случае их отсутствия на балансе организации.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расходы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акций, которых принадлежат государству, и товариществ с ограниченной ответственностью, размеры государственных долей участия, в которых позволяют государству определять решения общего собрания участников, с целью их оптимизации".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общей стоимости услуги в зависимости от количества проектов применяются поправочные коэффициенты: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200 до 250 проектов – 1;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250 до 300 – 0,9;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300 до 350 – 0,8.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 себестоимости сопровождения 1 проекта в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трудочаса/цена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 с учетом налогов и других обязательных платежей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основного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административно-управленческого персонала (АУП)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обязательные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Фиксируемые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помещений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