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12d5" w14:textId="7491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22 декабря 2023 года №16-2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11 марта 2024 года № 20-2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2, 3 к настоящему решению соответственно, в том числе на 2024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15141043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4390414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22112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10698517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15478711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216918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282438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65520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-554586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554586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282438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65520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337668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№20-2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2024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 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