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02b7" w14:textId="0380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Сатпаевскому сельскому округа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Аксуат области Абай от 24 апреля 2024 года № 15/11-VIII. Утратило силу решением маслихата района Аксуат области Абай от 15 апреля 2025 года № 27/3-VIII</w:t>
      </w:r>
    </w:p>
    <w:p>
      <w:pPr>
        <w:spacing w:after="0"/>
        <w:ind w:left="0"/>
        <w:jc w:val="both"/>
      </w:pPr>
      <w:r>
        <w:rPr>
          <w:rFonts w:ascii="Times New Roman"/>
          <w:b w:val="false"/>
          <w:i w:val="false"/>
          <w:color w:val="ff0000"/>
          <w:sz w:val="28"/>
        </w:rPr>
        <w:t xml:space="preserve">
      Сноска. Утратило силу решением маслихата района Аксуат области Абай от 15.04.2025 </w:t>
      </w:r>
      <w:r>
        <w:rPr>
          <w:rFonts w:ascii="Times New Roman"/>
          <w:b w:val="false"/>
          <w:i w:val="false"/>
          <w:color w:val="ff0000"/>
          <w:sz w:val="28"/>
        </w:rPr>
        <w:t>№ 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"О местном государственном управлении и самоуправлении в Республике Казахстан", маслихат района Аксуат РЕШИЛ:</w:t>
      </w:r>
    </w:p>
    <w:bookmarkEnd w:id="0"/>
    <w:bookmarkStart w:name="z6"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Сатпаевскому сельскому округу на 2024-2025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Аксуат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Аксуат</w:t>
            </w:r>
            <w:r>
              <w:br/>
            </w:r>
            <w:r>
              <w:rPr>
                <w:rFonts w:ascii="Times New Roman"/>
                <w:b w:val="false"/>
                <w:i w:val="false"/>
                <w:color w:val="000000"/>
                <w:sz w:val="20"/>
              </w:rPr>
              <w:t>от 24 апреля 2024 года</w:t>
            </w:r>
            <w:r>
              <w:br/>
            </w:r>
            <w:r>
              <w:rPr>
                <w:rFonts w:ascii="Times New Roman"/>
                <w:b w:val="false"/>
                <w:i w:val="false"/>
                <w:color w:val="000000"/>
                <w:sz w:val="20"/>
              </w:rPr>
              <w:t>№15/11-VIII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Сатпаевскому селсьскому округу на 2024-2025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Сатпаевскому селсьскому округу на 2024-2025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6"/>
    <w:bookmarkStart w:name="z14" w:id="7"/>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7"/>
    <w:bookmarkStart w:name="z15" w:id="8"/>
    <w:p>
      <w:pPr>
        <w:spacing w:after="0"/>
        <w:ind w:left="0"/>
        <w:jc w:val="both"/>
      </w:pPr>
      <w:r>
        <w:rPr>
          <w:rFonts w:ascii="Times New Roman"/>
          <w:b w:val="false"/>
          <w:i w:val="false"/>
          <w:color w:val="000000"/>
          <w:sz w:val="28"/>
        </w:rPr>
        <w:t>
      План содержит:</w:t>
      </w:r>
    </w:p>
    <w:bookmarkEnd w:id="8"/>
    <w:bookmarkStart w:name="z16" w:id="9"/>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9"/>
    <w:bookmarkStart w:name="z17" w:id="10"/>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4"/>
    <w:bookmarkStart w:name="z22" w:id="15"/>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5"/>
    <w:bookmarkStart w:name="z23" w:id="16"/>
    <w:p>
      <w:pPr>
        <w:spacing w:after="0"/>
        <w:ind w:left="0"/>
        <w:jc w:val="both"/>
      </w:pPr>
      <w:r>
        <w:rPr>
          <w:rFonts w:ascii="Times New Roman"/>
          <w:b w:val="false"/>
          <w:i w:val="false"/>
          <w:color w:val="000000"/>
          <w:sz w:val="28"/>
        </w:rPr>
        <w:t>
      Общая площадь территорий Сатпаевскому селсьскому округу 64000 га, из них пастбищные земли 57000 га, орошаемые земли – 600 га, сенокосные земли 6400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–64000га;</w:t>
      </w:r>
    </w:p>
    <w:bookmarkEnd w:id="18"/>
    <w:bookmarkStart w:name="z26" w:id="19"/>
    <w:p>
      <w:pPr>
        <w:spacing w:after="0"/>
        <w:ind w:left="0"/>
        <w:jc w:val="both"/>
      </w:pPr>
      <w:r>
        <w:rPr>
          <w:rFonts w:ascii="Times New Roman"/>
          <w:b w:val="false"/>
          <w:i w:val="false"/>
          <w:color w:val="000000"/>
          <w:sz w:val="28"/>
        </w:rPr>
        <w:t>
      Земли населенных пунктов – 10000га;</w:t>
      </w:r>
    </w:p>
    <w:bookmarkEnd w:id="19"/>
    <w:bookmarkStart w:name="z27" w:id="20"/>
    <w:p>
      <w:pPr>
        <w:spacing w:after="0"/>
        <w:ind w:left="0"/>
        <w:jc w:val="both"/>
      </w:pPr>
      <w:r>
        <w:rPr>
          <w:rFonts w:ascii="Times New Roman"/>
          <w:b w:val="false"/>
          <w:i w:val="false"/>
          <w:color w:val="000000"/>
          <w:sz w:val="28"/>
        </w:rPr>
        <w:t>
      Сельском округе действуют 1ветеринарный пункт, 1 убойных площадок, 1 скотомогильников.</w:t>
      </w:r>
    </w:p>
    <w:bookmarkEnd w:id="20"/>
    <w:bookmarkStart w:name="z28" w:id="21"/>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2"/>
    <w:bookmarkStart w:name="z30" w:id="23"/>
    <w:p>
      <w:pPr>
        <w:spacing w:after="0"/>
        <w:ind w:left="0"/>
        <w:jc w:val="both"/>
      </w:pPr>
      <w:r>
        <w:rPr>
          <w:rFonts w:ascii="Times New Roman"/>
          <w:b w:val="false"/>
          <w:i w:val="false"/>
          <w:color w:val="000000"/>
          <w:sz w:val="28"/>
        </w:rPr>
        <w:t>
      Сатпаевский сельский округ расположен в центральной части Тарбагатайского района, его площадь 84,0 тысяч га, что составляет 3,54 % от площади района.</w:t>
      </w:r>
    </w:p>
    <w:bookmarkEnd w:id="23"/>
    <w:bookmarkStart w:name="z31" w:id="24"/>
    <w:p>
      <w:pPr>
        <w:spacing w:after="0"/>
        <w:ind w:left="0"/>
        <w:jc w:val="both"/>
      </w:pPr>
      <w:r>
        <w:rPr>
          <w:rFonts w:ascii="Times New Roman"/>
          <w:b w:val="false"/>
          <w:i w:val="false"/>
          <w:color w:val="000000"/>
          <w:sz w:val="28"/>
        </w:rPr>
        <w:t>
      На севере сельский округ граничит с землями Иргизбайского сельского округа, на юге граничит с землями Кумгольского сельского округа, на западе граничит с землями Кокжиринского сельского округа, на востоке с землями Карасуйского сельского округа.</w:t>
      </w:r>
    </w:p>
    <w:bookmarkEnd w:id="24"/>
    <w:bookmarkStart w:name="z32" w:id="25"/>
    <w:p>
      <w:pPr>
        <w:spacing w:after="0"/>
        <w:ind w:left="0"/>
        <w:jc w:val="both"/>
      </w:pPr>
      <w:r>
        <w:rPr>
          <w:rFonts w:ascii="Times New Roman"/>
          <w:b w:val="false"/>
          <w:i w:val="false"/>
          <w:color w:val="000000"/>
          <w:sz w:val="28"/>
        </w:rPr>
        <w:t>
      Центром сельского округа является село Сатпаев расположенное в 27 км от районного центра с. Аксуат.</w:t>
      </w:r>
    </w:p>
    <w:bookmarkEnd w:id="25"/>
    <w:bookmarkStart w:name="z33" w:id="26"/>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3 сельских населенных пункта: - с. Сатпаев, с. Сулутал, с. Коктубек.</w:t>
      </w:r>
    </w:p>
    <w:bookmarkEnd w:id="26"/>
    <w:bookmarkStart w:name="z34" w:id="27"/>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Кокжыра – пикет Бугаз.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27"/>
    <w:bookmarkStart w:name="z35" w:id="28"/>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3900 головы крупного рогатого скота, 650 голов лошадей и 5500 голов овец и коз.</w:t>
      </w:r>
    </w:p>
    <w:bookmarkEnd w:id="28"/>
    <w:bookmarkStart w:name="z36" w:id="29"/>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29"/>
    <w:bookmarkStart w:name="z37" w:id="30"/>
    <w:p>
      <w:pPr>
        <w:spacing w:after="0"/>
        <w:ind w:left="0"/>
        <w:jc w:val="both"/>
      </w:pPr>
      <w:r>
        <w:rPr>
          <w:rFonts w:ascii="Times New Roman"/>
          <w:b w:val="false"/>
          <w:i w:val="false"/>
          <w:color w:val="000000"/>
          <w:sz w:val="28"/>
        </w:rPr>
        <w:t>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 ее высота до 30-40 см. Урожайность сухой растительной массы 3- 4 ц/га.</w:t>
      </w:r>
    </w:p>
    <w:bookmarkEnd w:id="30"/>
    <w:bookmarkStart w:name="z38" w:id="31"/>
    <w:p>
      <w:pPr>
        <w:spacing w:after="0"/>
        <w:ind w:left="0"/>
        <w:jc w:val="both"/>
      </w:pPr>
      <w:r>
        <w:rPr>
          <w:rFonts w:ascii="Times New Roman"/>
          <w:b w:val="false"/>
          <w:i w:val="false"/>
          <w:color w:val="000000"/>
          <w:sz w:val="28"/>
        </w:rPr>
        <w:t>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31"/>
    <w:bookmarkStart w:name="z39" w:id="32"/>
    <w:p>
      <w:pPr>
        <w:spacing w:after="0"/>
        <w:ind w:left="0"/>
        <w:jc w:val="left"/>
      </w:pPr>
      <w:r>
        <w:rPr>
          <w:rFonts w:ascii="Times New Roman"/>
          <w:b/>
          <w:i w:val="false"/>
          <w:color w:val="000000"/>
        </w:rPr>
        <w:t xml:space="preserve"> ОРГАНИЗАЦИЯ ТЕРРИТОРИИ ПАСТБИЩ</w:t>
      </w:r>
    </w:p>
    <w:bookmarkEnd w:id="32"/>
    <w:bookmarkStart w:name="z40" w:id="33"/>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33"/>
    <w:bookmarkStart w:name="z41" w:id="34"/>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bookmarkEnd w:id="34"/>
    <w:bookmarkStart w:name="z42" w:id="35"/>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35"/>
    <w:bookmarkStart w:name="z43" w:id="36"/>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36"/>
    <w:bookmarkStart w:name="z44" w:id="37"/>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37"/>
    <w:bookmarkStart w:name="z45" w:id="38"/>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38"/>
    <w:bookmarkStart w:name="z46" w:id="39"/>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39"/>
    <w:bookmarkStart w:name="z47" w:id="40"/>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bookmarkEnd w:id="40"/>
    <w:bookmarkStart w:name="z48" w:id="41"/>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овец.На рассматриваемой территории имеются трубчатые и шахтные колодцы за счет которых обводнены зимние пастбища.</w:t>
      </w:r>
    </w:p>
    <w:bookmarkEnd w:id="41"/>
    <w:bookmarkStart w:name="z49" w:id="42"/>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42"/>
    <w:bookmarkStart w:name="z50" w:id="43"/>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43"/>
    <w:bookmarkStart w:name="z51" w:id="44"/>
    <w:p>
      <w:pPr>
        <w:spacing w:after="0"/>
        <w:ind w:left="0"/>
        <w:jc w:val="both"/>
      </w:pPr>
      <w:r>
        <w:rPr>
          <w:rFonts w:ascii="Times New Roman"/>
          <w:b w:val="false"/>
          <w:i w:val="false"/>
          <w:color w:val="000000"/>
          <w:sz w:val="28"/>
        </w:rPr>
        <w:t xml:space="preserve">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650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w:t>
      </w:r>
    </w:p>
    <w:bookmarkEnd w:id="44"/>
    <w:bookmarkStart w:name="z52" w:id="45"/>
    <w:p>
      <w:pPr>
        <w:spacing w:after="0"/>
        <w:ind w:left="0"/>
        <w:jc w:val="both"/>
      </w:pPr>
      <w:r>
        <w:rPr>
          <w:rFonts w:ascii="Times New Roman"/>
          <w:b w:val="false"/>
          <w:i w:val="false"/>
          <w:color w:val="000000"/>
          <w:sz w:val="28"/>
        </w:rPr>
        <w:t>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5500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w:t>
      </w:r>
    </w:p>
    <w:bookmarkEnd w:id="45"/>
    <w:bookmarkStart w:name="z53" w:id="46"/>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w:t>
            </w:r>
          </w:p>
          <w:bookmarkEnd w:id="48"/>
          <w:p>
            <w:pPr>
              <w:spacing w:after="20"/>
              <w:ind w:left="20"/>
              <w:jc w:val="both"/>
            </w:pPr>
            <w:r>
              <w:rPr>
                <w:rFonts w:ascii="Times New Roman"/>
                <w:b w:val="false"/>
                <w:i w:val="false"/>
                <w:color w:val="000000"/>
                <w:sz w:val="20"/>
              </w:rPr>
              <w:t>
3900</w:t>
            </w:r>
          </w:p>
          <w:p>
            <w:pPr>
              <w:spacing w:after="20"/>
              <w:ind w:left="20"/>
              <w:jc w:val="both"/>
            </w:pPr>
            <w:r>
              <w:rPr>
                <w:rFonts w:ascii="Times New Roman"/>
                <w:b w:val="false"/>
                <w:i w:val="false"/>
                <w:color w:val="000000"/>
                <w:sz w:val="20"/>
              </w:rPr>
              <w:t>
</w:t>
            </w:r>
            <w:r>
              <w:rPr>
                <w:rFonts w:ascii="Times New Roman"/>
                <w:b w:val="false"/>
                <w:i w:val="false"/>
                <w:color w:val="000000"/>
                <w:sz w:val="20"/>
              </w:rPr>
              <w:t>5500</w:t>
            </w:r>
          </w:p>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240250</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156000</w:t>
            </w:r>
          </w:p>
          <w:p>
            <w:pPr>
              <w:spacing w:after="20"/>
              <w:ind w:left="20"/>
              <w:jc w:val="both"/>
            </w:pPr>
            <w:r>
              <w:rPr>
                <w:rFonts w:ascii="Times New Roman"/>
                <w:b w:val="false"/>
                <w:i w:val="false"/>
                <w:color w:val="000000"/>
                <w:sz w:val="20"/>
              </w:rPr>
              <w:t>
</w:t>
            </w:r>
            <w:r>
              <w:rPr>
                <w:rFonts w:ascii="Times New Roman"/>
                <w:b w:val="false"/>
                <w:i w:val="false"/>
                <w:color w:val="000000"/>
                <w:sz w:val="20"/>
              </w:rPr>
              <w:t>55000</w:t>
            </w:r>
          </w:p>
          <w:p>
            <w:pPr>
              <w:spacing w:after="20"/>
              <w:ind w:left="20"/>
              <w:jc w:val="both"/>
            </w:pPr>
            <w:r>
              <w:rPr>
                <w:rFonts w:ascii="Times New Roman"/>
                <w:b w:val="false"/>
                <w:i w:val="false"/>
                <w:color w:val="000000"/>
                <w:sz w:val="20"/>
              </w:rPr>
              <w:t>
29250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w:t>
            </w:r>
          </w:p>
        </w:tc>
      </w:tr>
    </w:tbl>
    <w:bookmarkStart w:name="z64" w:id="51"/>
    <w:p>
      <w:pPr>
        <w:spacing w:after="0"/>
        <w:ind w:left="0"/>
        <w:jc w:val="left"/>
      </w:pPr>
      <w:r>
        <w:rPr>
          <w:rFonts w:ascii="Times New Roman"/>
          <w:b/>
          <w:i w:val="false"/>
          <w:color w:val="000000"/>
        </w:rPr>
        <w:t xml:space="preserve"> Обеспеченность пастбищами скота по сельскому округу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(фактич)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Недостаток –</w:t>
            </w:r>
          </w:p>
          <w:bookmarkEnd w:id="52"/>
          <w:p>
            <w:pPr>
              <w:spacing w:after="20"/>
              <w:ind w:left="20"/>
              <w:jc w:val="both"/>
            </w:pPr>
          </w:p>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
3900</w:t>
            </w:r>
          </w:p>
          <w:p>
            <w:pPr>
              <w:spacing w:after="20"/>
              <w:ind w:left="20"/>
              <w:jc w:val="both"/>
            </w:pPr>
            <w:r>
              <w:rPr>
                <w:rFonts w:ascii="Times New Roman"/>
                <w:b w:val="false"/>
                <w:i w:val="false"/>
                <w:color w:val="000000"/>
                <w:sz w:val="20"/>
              </w:rPr>
              <w:t>
</w:t>
            </w:r>
            <w:r>
              <w:rPr>
                <w:rFonts w:ascii="Times New Roman"/>
                <w:b w:val="false"/>
                <w:i w:val="false"/>
                <w:color w:val="000000"/>
                <w:sz w:val="20"/>
              </w:rPr>
              <w:t>5500</w:t>
            </w:r>
          </w:p>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24025</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15600</w:t>
            </w:r>
          </w:p>
          <w:p>
            <w:pPr>
              <w:spacing w:after="20"/>
              <w:ind w:left="20"/>
              <w:jc w:val="both"/>
            </w:pPr>
            <w:r>
              <w:rPr>
                <w:rFonts w:ascii="Times New Roman"/>
                <w:b w:val="false"/>
                <w:i w:val="false"/>
                <w:color w:val="000000"/>
                <w:sz w:val="20"/>
              </w:rPr>
              <w:t>
</w:t>
            </w:r>
            <w:r>
              <w:rPr>
                <w:rFonts w:ascii="Times New Roman"/>
                <w:b w:val="false"/>
                <w:i w:val="false"/>
                <w:color w:val="000000"/>
                <w:sz w:val="20"/>
              </w:rPr>
              <w:t>5500</w:t>
            </w:r>
          </w:p>
          <w:p>
            <w:pPr>
              <w:spacing w:after="20"/>
              <w:ind w:left="20"/>
              <w:jc w:val="both"/>
            </w:pPr>
            <w:r>
              <w:rPr>
                <w:rFonts w:ascii="Times New Roman"/>
                <w:b w:val="false"/>
                <w:i w:val="false"/>
                <w:color w:val="000000"/>
                <w:sz w:val="20"/>
              </w:rPr>
              <w:t>
2925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- 10537,7</w:t>
            </w:r>
          </w:p>
        </w:tc>
      </w:tr>
    </w:tbl>
    <w:bookmarkStart w:name="z74" w:id="56"/>
    <w:p>
      <w:pPr>
        <w:spacing w:after="0"/>
        <w:ind w:left="0"/>
        <w:jc w:val="left"/>
      </w:pPr>
      <w:r>
        <w:rPr>
          <w:rFonts w:ascii="Times New Roman"/>
          <w:b/>
          <w:i w:val="false"/>
          <w:color w:val="000000"/>
        </w:rPr>
        <w:t xml:space="preserve"> Территория с особым режимом использования земель</w:t>
      </w:r>
    </w:p>
    <w:bookmarkEnd w:id="56"/>
    <w:bookmarkStart w:name="z75" w:id="57"/>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57"/>
    <w:bookmarkStart w:name="z76" w:id="58"/>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bookmarkEnd w:id="58"/>
    <w:bookmarkStart w:name="z77" w:id="59"/>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59"/>
    <w:bookmarkStart w:name="z78" w:id="60"/>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60"/>
    <w:bookmarkStart w:name="z79" w:id="61"/>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61"/>
    <w:bookmarkStart w:name="z80" w:id="62"/>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62"/>
    <w:bookmarkStart w:name="z81" w:id="63"/>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63"/>
    <w:bookmarkStart w:name="z82" w:id="64"/>
    <w:p>
      <w:pPr>
        <w:spacing w:after="0"/>
        <w:ind w:left="0"/>
        <w:jc w:val="both"/>
      </w:pPr>
      <w:r>
        <w:rPr>
          <w:rFonts w:ascii="Times New Roman"/>
          <w:b w:val="false"/>
          <w:i w:val="false"/>
          <w:color w:val="000000"/>
          <w:sz w:val="28"/>
        </w:rPr>
        <w:t>
      - применение всех видов удобрений.</w:t>
      </w:r>
    </w:p>
    <w:bookmarkEnd w:id="64"/>
    <w:bookmarkStart w:name="z83" w:id="65"/>
    <w:p>
      <w:pPr>
        <w:spacing w:after="0"/>
        <w:ind w:left="0"/>
        <w:jc w:val="both"/>
      </w:pPr>
      <w:r>
        <w:rPr>
          <w:rFonts w:ascii="Times New Roman"/>
          <w:b w:val="false"/>
          <w:i w:val="false"/>
          <w:color w:val="000000"/>
          <w:sz w:val="28"/>
        </w:rPr>
        <w:t>
      в пределах водоохранных зон запрещается:</w:t>
      </w:r>
    </w:p>
    <w:bookmarkEnd w:id="65"/>
    <w:bookmarkStart w:name="z84" w:id="66"/>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66"/>
    <w:bookmarkStart w:name="z85" w:id="67"/>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67"/>
    <w:bookmarkStart w:name="z86" w:id="68"/>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68"/>
    <w:bookmarkStart w:name="z87" w:id="69"/>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69"/>
    <w:bookmarkStart w:name="z88" w:id="70"/>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70"/>
    <w:bookmarkStart w:name="z89" w:id="71"/>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71"/>
    <w:bookmarkStart w:name="z90" w:id="72"/>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72"/>
    <w:bookmarkStart w:name="z91" w:id="73"/>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Сатпаевский сельский округ</w:t>
            </w:r>
            <w:r>
              <w:br/>
            </w:r>
            <w:r>
              <w:rPr>
                <w:rFonts w:ascii="Times New Roman"/>
                <w:b w:val="false"/>
                <w:i w:val="false"/>
                <w:color w:val="000000"/>
                <w:sz w:val="20"/>
              </w:rPr>
              <w:t>на 2024-2025 годы</w:t>
            </w:r>
          </w:p>
        </w:tc>
      </w:tr>
    </w:tbl>
    <w:bookmarkStart w:name="z93" w:id="74"/>
    <w:p>
      <w:pPr>
        <w:spacing w:after="0"/>
        <w:ind w:left="0"/>
        <w:jc w:val="left"/>
      </w:pPr>
      <w:r>
        <w:rPr>
          <w:rFonts w:ascii="Times New Roman"/>
          <w:b/>
          <w:i w:val="false"/>
          <w:color w:val="000000"/>
        </w:rPr>
        <w:t xml:space="preserve"> Схема расположения пастбищ на территории Сатпаевский сельский округ в разрезе категорий земель, собственников земельных участков и землепользователей на основании правоустанавливающих документов</w:t>
      </w:r>
    </w:p>
    <w:bookmarkEnd w:id="74"/>
    <w:bookmarkStart w:name="z9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5057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Сатпаевский сельский округ</w:t>
            </w:r>
            <w:r>
              <w:br/>
            </w:r>
            <w:r>
              <w:rPr>
                <w:rFonts w:ascii="Times New Roman"/>
                <w:b w:val="false"/>
                <w:i w:val="false"/>
                <w:color w:val="000000"/>
                <w:sz w:val="20"/>
              </w:rPr>
              <w:t>на 2024-2025 годы</w:t>
            </w:r>
          </w:p>
        </w:tc>
      </w:tr>
    </w:tbl>
    <w:bookmarkStart w:name="z96" w:id="76"/>
    <w:p>
      <w:pPr>
        <w:spacing w:after="0"/>
        <w:ind w:left="0"/>
        <w:jc w:val="left"/>
      </w:pPr>
      <w:r>
        <w:rPr>
          <w:rFonts w:ascii="Times New Roman"/>
          <w:b/>
          <w:i w:val="false"/>
          <w:color w:val="000000"/>
        </w:rPr>
        <w:t xml:space="preserve"> Приемлемые схемы пастбищеоборотов </w:t>
      </w:r>
    </w:p>
    <w:bookmarkEnd w:id="76"/>
    <w:bookmarkStart w:name="z9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Сатпаевский сельский округ</w:t>
            </w:r>
            <w:r>
              <w:br/>
            </w:r>
            <w:r>
              <w:rPr>
                <w:rFonts w:ascii="Times New Roman"/>
                <w:b w:val="false"/>
                <w:i w:val="false"/>
                <w:color w:val="000000"/>
                <w:sz w:val="20"/>
              </w:rPr>
              <w:t>на 2024-2025 годы</w:t>
            </w:r>
          </w:p>
        </w:tc>
      </w:tr>
    </w:tbl>
    <w:bookmarkStart w:name="z99" w:id="7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8"/>
    <w:bookmarkStart w:name="z10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Сатпаевский сельский округ</w:t>
            </w:r>
            <w:r>
              <w:br/>
            </w:r>
            <w:r>
              <w:rPr>
                <w:rFonts w:ascii="Times New Roman"/>
                <w:b w:val="false"/>
                <w:i w:val="false"/>
                <w:color w:val="000000"/>
                <w:sz w:val="20"/>
              </w:rPr>
              <w:t>на 2024-2025 годы</w:t>
            </w:r>
          </w:p>
        </w:tc>
      </w:tr>
    </w:tbl>
    <w:bookmarkStart w:name="z102" w:id="8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80"/>
    <w:bookmarkStart w:name="z10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Сатпаевский сельский округ</w:t>
            </w:r>
            <w:r>
              <w:br/>
            </w:r>
            <w:r>
              <w:rPr>
                <w:rFonts w:ascii="Times New Roman"/>
                <w:b w:val="false"/>
                <w:i w:val="false"/>
                <w:color w:val="000000"/>
                <w:sz w:val="20"/>
              </w:rPr>
              <w:t>на 2024-2025 годы</w:t>
            </w:r>
          </w:p>
        </w:tc>
      </w:tr>
    </w:tbl>
    <w:bookmarkStart w:name="z105" w:id="8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2"/>
    <w:bookmarkStart w:name="z106"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Сатпаевский сельский округ</w:t>
            </w:r>
            <w:r>
              <w:br/>
            </w:r>
            <w:r>
              <w:rPr>
                <w:rFonts w:ascii="Times New Roman"/>
                <w:b w:val="false"/>
                <w:i w:val="false"/>
                <w:color w:val="000000"/>
                <w:sz w:val="20"/>
              </w:rPr>
              <w:t>на 2024-2025 годы</w:t>
            </w:r>
          </w:p>
        </w:tc>
      </w:tr>
    </w:tbl>
    <w:bookmarkStart w:name="z108" w:id="8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селе, сельском округе</w:t>
      </w:r>
    </w:p>
    <w:bookmarkEnd w:id="84"/>
    <w:bookmarkStart w:name="z10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Сатпаевский сельский округ</w:t>
            </w:r>
            <w:r>
              <w:br/>
            </w:r>
            <w:r>
              <w:rPr>
                <w:rFonts w:ascii="Times New Roman"/>
                <w:b w:val="false"/>
                <w:i w:val="false"/>
                <w:color w:val="000000"/>
                <w:sz w:val="20"/>
              </w:rPr>
              <w:t>на 2024-2025 годы</w:t>
            </w:r>
          </w:p>
        </w:tc>
      </w:tr>
    </w:tbl>
    <w:bookmarkStart w:name="z111" w:id="8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6"/>
    <w:bookmarkStart w:name="z11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