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6a0e" w14:textId="6f86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Кокжыринскому сельскому округа на 2024-2025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Аксуат области Абай от 24 апреля 2024 года № 15/7-VIII. Утратило силу решением маслихата района Аксуат области Абай от 15 апреля 2025 года № 27/3-VIII</w:t>
      </w:r>
    </w:p>
    <w:p>
      <w:pPr>
        <w:spacing w:after="0"/>
        <w:ind w:left="0"/>
        <w:jc w:val="both"/>
      </w:pPr>
      <w:r>
        <w:rPr>
          <w:rFonts w:ascii="Times New Roman"/>
          <w:b w:val="false"/>
          <w:i w:val="false"/>
          <w:color w:val="ff0000"/>
          <w:sz w:val="28"/>
        </w:rPr>
        <w:t xml:space="preserve">
      Сноска. Утратило силу решением маслихата района Аксуат области Абай от 15.04.2025 </w:t>
      </w:r>
      <w:r>
        <w:rPr>
          <w:rFonts w:ascii="Times New Roman"/>
          <w:b w:val="false"/>
          <w:i w:val="false"/>
          <w:color w:val="ff0000"/>
          <w:sz w:val="28"/>
        </w:rPr>
        <w:t>№ 27/3-VIII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Закона Республики Казахстан "О пастбищах",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"О местном государственном управлении и самоуправлении в Республике Казахстан", маслихат района Аксуат РЕШИЛ:</w:t>
      </w:r>
    </w:p>
    <w:bookmarkEnd w:id="0"/>
    <w:bookmarkStart w:name="z6" w:id="1"/>
    <w:p>
      <w:pPr>
        <w:spacing w:after="0"/>
        <w:ind w:left="0"/>
        <w:jc w:val="both"/>
      </w:pPr>
      <w:r>
        <w:rPr>
          <w:rFonts w:ascii="Times New Roman"/>
          <w:b w:val="false"/>
          <w:i w:val="false"/>
          <w:color w:val="000000"/>
          <w:sz w:val="28"/>
        </w:rPr>
        <w:t xml:space="preserve">
      1. Утвердить План по управлению пастбищами и их использованию по Кокжыринскому сельскому округу на 2024-2025 годы, согласно </w:t>
      </w:r>
      <w:r>
        <w:rPr>
          <w:rFonts w:ascii="Times New Roman"/>
          <w:b w:val="false"/>
          <w:i w:val="false"/>
          <w:color w:val="000000"/>
          <w:sz w:val="28"/>
        </w:rPr>
        <w:t>приложениям</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Аксуат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Аксуат</w:t>
            </w:r>
            <w:r>
              <w:br/>
            </w:r>
            <w:r>
              <w:rPr>
                <w:rFonts w:ascii="Times New Roman"/>
                <w:b w:val="false"/>
                <w:i w:val="false"/>
                <w:color w:val="000000"/>
                <w:sz w:val="20"/>
              </w:rPr>
              <w:t>от 24 апреля 2024 года</w:t>
            </w:r>
            <w:r>
              <w:br/>
            </w:r>
            <w:r>
              <w:rPr>
                <w:rFonts w:ascii="Times New Roman"/>
                <w:b w:val="false"/>
                <w:i w:val="false"/>
                <w:color w:val="000000"/>
                <w:sz w:val="20"/>
              </w:rPr>
              <w:t>№15/7-VIII</w:t>
            </w:r>
          </w:p>
        </w:tc>
      </w:tr>
    </w:tbl>
    <w:bookmarkStart w:name="z10" w:id="3"/>
    <w:p>
      <w:pPr>
        <w:spacing w:after="0"/>
        <w:ind w:left="0"/>
        <w:jc w:val="left"/>
      </w:pPr>
      <w:r>
        <w:rPr>
          <w:rFonts w:ascii="Times New Roman"/>
          <w:b/>
          <w:i w:val="false"/>
          <w:color w:val="000000"/>
        </w:rPr>
        <w:t xml:space="preserve"> План по управлению пастбищами и их использованию по Кокжиринскому сельскому округу на 2024-2025 годы</w:t>
      </w:r>
    </w:p>
    <w:bookmarkEnd w:id="3"/>
    <w:bookmarkStart w:name="z11" w:id="4"/>
    <w:p>
      <w:pPr>
        <w:spacing w:after="0"/>
        <w:ind w:left="0"/>
        <w:jc w:val="both"/>
      </w:pPr>
      <w:r>
        <w:rPr>
          <w:rFonts w:ascii="Times New Roman"/>
          <w:b w:val="false"/>
          <w:i w:val="false"/>
          <w:color w:val="000000"/>
          <w:sz w:val="28"/>
        </w:rPr>
        <w:t>
      Настоящий План по управлению пастбищами и их использованию по Кокжиринскому сельскому округу на 2024-2025 годы (далее План) разработан в соответствий с Законами Республики Казахстан "</w:t>
      </w:r>
      <w:r>
        <w:rPr>
          <w:rFonts w:ascii="Times New Roman"/>
          <w:b w:val="false"/>
          <w:i w:val="false"/>
          <w:color w:val="000000"/>
          <w:sz w:val="28"/>
        </w:rPr>
        <w:t>О пастбищах</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управлений и самосамоуправлении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Казахстан–Министра сельского хозяйства Республики Казахстан от 24 апреля 2017 года № 173 "Об утверждений Правил рационального использования пастбищ" (зарегестрирован в Министерстве юстиций Республики Казахстан 28 апреля 2017 года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аперля 2015 года № 3-3/332 "Об утверждений предельно допустимой нормы нагрузки на общую площадь пасбищ" "зарегестрирован в Министерстве юстиций Республики Казахстан 15 мая 2015 года № 11064).</w:t>
      </w:r>
    </w:p>
    <w:bookmarkEnd w:id="4"/>
    <w:bookmarkStart w:name="z12"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деградаций пасбищ.</w:t>
      </w:r>
    </w:p>
    <w:bookmarkEnd w:id="5"/>
    <w:bookmarkStart w:name="z13" w:id="6"/>
    <w:p>
      <w:pPr>
        <w:spacing w:after="0"/>
        <w:ind w:left="0"/>
        <w:jc w:val="both"/>
      </w:pPr>
      <w:r>
        <w:rPr>
          <w:rFonts w:ascii="Times New Roman"/>
          <w:b w:val="false"/>
          <w:i w:val="false"/>
          <w:color w:val="000000"/>
          <w:sz w:val="28"/>
        </w:rPr>
        <w:t>
      План принят с учетом сведений о состояний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формирований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юридическими лицами.</w:t>
      </w:r>
    </w:p>
    <w:bookmarkEnd w:id="6"/>
    <w:bookmarkStart w:name="z14" w:id="7"/>
    <w:p>
      <w:pPr>
        <w:spacing w:after="0"/>
        <w:ind w:left="0"/>
        <w:jc w:val="both"/>
      </w:pPr>
      <w:r>
        <w:rPr>
          <w:rFonts w:ascii="Times New Roman"/>
          <w:b w:val="false"/>
          <w:i w:val="false"/>
          <w:color w:val="000000"/>
          <w:sz w:val="28"/>
        </w:rPr>
        <w:t>
      План по управлению пастбищами и их использованию – документ, определяющий и обосновывающий организацию и устройство территории пастбищ на ближайшую перспективу, содержащий комплекс мероприятий, обеспечивающих наиболее оптимальное использование каждого земельного участка с учетом его индивидуальных характеристик (плодородия, технических свойств использования, природно-климатических, экологических и других особенностей).</w:t>
      </w:r>
    </w:p>
    <w:bookmarkEnd w:id="7"/>
    <w:bookmarkStart w:name="z15" w:id="8"/>
    <w:p>
      <w:pPr>
        <w:spacing w:after="0"/>
        <w:ind w:left="0"/>
        <w:jc w:val="both"/>
      </w:pPr>
      <w:r>
        <w:rPr>
          <w:rFonts w:ascii="Times New Roman"/>
          <w:b w:val="false"/>
          <w:i w:val="false"/>
          <w:color w:val="000000"/>
          <w:sz w:val="28"/>
        </w:rPr>
        <w:t>
      План содержит:</w:t>
      </w:r>
    </w:p>
    <w:bookmarkEnd w:id="8"/>
    <w:bookmarkStart w:name="z16" w:id="9"/>
    <w:p>
      <w:pPr>
        <w:spacing w:after="0"/>
        <w:ind w:left="0"/>
        <w:jc w:val="both"/>
      </w:pPr>
      <w:r>
        <w:rPr>
          <w:rFonts w:ascii="Times New Roman"/>
          <w:b w:val="false"/>
          <w:i w:val="false"/>
          <w:color w:val="000000"/>
          <w:sz w:val="28"/>
        </w:rPr>
        <w:t xml:space="preserve">
      1) Схему (карту) расположения пастбищ на территорий административно-территориальной единицы в разрезе категорий земель, собственников земельных участков и землепользователей на оснований правоустанавливающих документов,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bookmarkEnd w:id="9"/>
    <w:bookmarkStart w:name="z17" w:id="10"/>
    <w:p>
      <w:pPr>
        <w:spacing w:after="0"/>
        <w:ind w:left="0"/>
        <w:jc w:val="both"/>
      </w:pPr>
      <w:r>
        <w:rPr>
          <w:rFonts w:ascii="Times New Roman"/>
          <w:b w:val="false"/>
          <w:i w:val="false"/>
          <w:color w:val="000000"/>
          <w:sz w:val="28"/>
        </w:rPr>
        <w:t xml:space="preserve">
      2) Приемлемые схемы пастбище оборотов,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bookmarkEnd w:id="10"/>
    <w:bookmarkStart w:name="z18" w:id="11"/>
    <w:p>
      <w:pPr>
        <w:spacing w:after="0"/>
        <w:ind w:left="0"/>
        <w:jc w:val="both"/>
      </w:pPr>
      <w:r>
        <w:rPr>
          <w:rFonts w:ascii="Times New Roman"/>
          <w:b w:val="false"/>
          <w:i w:val="false"/>
          <w:color w:val="000000"/>
          <w:sz w:val="28"/>
        </w:rPr>
        <w:t xml:space="preserve">
      3) Карту с обозначением внешних и внутренних границ и площадей пастбищ, в том числе сезонных, объектов пастбищной инфраструктуры,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bookmarkEnd w:id="11"/>
    <w:bookmarkStart w:name="z19" w:id="12"/>
    <w:p>
      <w:pPr>
        <w:spacing w:after="0"/>
        <w:ind w:left="0"/>
        <w:jc w:val="both"/>
      </w:pPr>
      <w:r>
        <w:rPr>
          <w:rFonts w:ascii="Times New Roman"/>
          <w:b w:val="false"/>
          <w:i w:val="false"/>
          <w:color w:val="000000"/>
          <w:sz w:val="28"/>
        </w:rPr>
        <w:t xml:space="preserve">
      4) Схему доступа пастбище пользователей к водоисточникам (озерам, рекам, прудам, копаниям, оросительным и обводнительным каналам, трубчатым и шахтным колодцам), составленную согласно норме потребления воды,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Плану;</w:t>
      </w:r>
    </w:p>
    <w:bookmarkEnd w:id="12"/>
    <w:bookmarkStart w:name="z20" w:id="13"/>
    <w:p>
      <w:pPr>
        <w:spacing w:after="0"/>
        <w:ind w:left="0"/>
        <w:jc w:val="both"/>
      </w:pPr>
      <w:r>
        <w:rPr>
          <w:rFonts w:ascii="Times New Roman"/>
          <w:b w:val="false"/>
          <w:i w:val="false"/>
          <w:color w:val="000000"/>
          <w:sz w:val="28"/>
        </w:rPr>
        <w:t xml:space="preserve">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bookmarkEnd w:id="13"/>
    <w:bookmarkStart w:name="z21" w:id="14"/>
    <w:p>
      <w:pPr>
        <w:spacing w:after="0"/>
        <w:ind w:left="0"/>
        <w:jc w:val="both"/>
      </w:pPr>
      <w:r>
        <w:rPr>
          <w:rFonts w:ascii="Times New Roman"/>
          <w:b w:val="false"/>
          <w:i w:val="false"/>
          <w:color w:val="000000"/>
          <w:sz w:val="28"/>
        </w:rPr>
        <w:t xml:space="preserve">
      6) Схему размещения поголовья сельскохозяйственных животных на отгонных пастбищах физических и (или) юридических лиц, у которых отсутствуют пастбища, и перемещения его на предоставляемые пастбища.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bookmarkEnd w:id="14"/>
    <w:bookmarkStart w:name="z22" w:id="15"/>
    <w:p>
      <w:pPr>
        <w:spacing w:after="0"/>
        <w:ind w:left="0"/>
        <w:jc w:val="both"/>
      </w:pPr>
      <w:r>
        <w:rPr>
          <w:rFonts w:ascii="Times New Roman"/>
          <w:b w:val="false"/>
          <w:i w:val="false"/>
          <w:color w:val="000000"/>
          <w:sz w:val="28"/>
        </w:rPr>
        <w:t xml:space="preserve">
      7) Календарный график по использованию пастбищ, устанавливающий сезонные маршруты выпаса и передвижения сельскохозяйственных животных,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End w:id="15"/>
    <w:bookmarkStart w:name="z23" w:id="16"/>
    <w:p>
      <w:pPr>
        <w:spacing w:after="0"/>
        <w:ind w:left="0"/>
        <w:jc w:val="both"/>
      </w:pPr>
      <w:r>
        <w:rPr>
          <w:rFonts w:ascii="Times New Roman"/>
          <w:b w:val="false"/>
          <w:i w:val="false"/>
          <w:color w:val="000000"/>
          <w:sz w:val="28"/>
        </w:rPr>
        <w:t>
      Общая площадь территорий Кокжиринского сельского округа 201100 га, из них пастбищные земли 197600 га, орошаемые земли – 4000 га, сенокосные земли 2800 га.</w:t>
      </w:r>
    </w:p>
    <w:bookmarkEnd w:id="16"/>
    <w:bookmarkStart w:name="z24" w:id="17"/>
    <w:p>
      <w:pPr>
        <w:spacing w:after="0"/>
        <w:ind w:left="0"/>
        <w:jc w:val="both"/>
      </w:pPr>
      <w:r>
        <w:rPr>
          <w:rFonts w:ascii="Times New Roman"/>
          <w:b w:val="false"/>
          <w:i w:val="false"/>
          <w:color w:val="000000"/>
          <w:sz w:val="28"/>
        </w:rPr>
        <w:t>
      По категориям земли подразделяются на:</w:t>
      </w:r>
    </w:p>
    <w:bookmarkEnd w:id="17"/>
    <w:bookmarkStart w:name="z25" w:id="18"/>
    <w:p>
      <w:pPr>
        <w:spacing w:after="0"/>
        <w:ind w:left="0"/>
        <w:jc w:val="both"/>
      </w:pPr>
      <w:r>
        <w:rPr>
          <w:rFonts w:ascii="Times New Roman"/>
          <w:b w:val="false"/>
          <w:i w:val="false"/>
          <w:color w:val="000000"/>
          <w:sz w:val="28"/>
        </w:rPr>
        <w:t>
      Земли сельскохозяйственного назначения –197600 га;</w:t>
      </w:r>
    </w:p>
    <w:bookmarkEnd w:id="18"/>
    <w:bookmarkStart w:name="z26" w:id="19"/>
    <w:p>
      <w:pPr>
        <w:spacing w:after="0"/>
        <w:ind w:left="0"/>
        <w:jc w:val="both"/>
      </w:pPr>
      <w:r>
        <w:rPr>
          <w:rFonts w:ascii="Times New Roman"/>
          <w:b w:val="false"/>
          <w:i w:val="false"/>
          <w:color w:val="000000"/>
          <w:sz w:val="28"/>
        </w:rPr>
        <w:t>
      Земли населенных пунктов – 18 500га;</w:t>
      </w:r>
    </w:p>
    <w:bookmarkEnd w:id="19"/>
    <w:bookmarkStart w:name="z27" w:id="20"/>
    <w:p>
      <w:pPr>
        <w:spacing w:after="0"/>
        <w:ind w:left="0"/>
        <w:jc w:val="both"/>
      </w:pPr>
      <w:r>
        <w:rPr>
          <w:rFonts w:ascii="Times New Roman"/>
          <w:b w:val="false"/>
          <w:i w:val="false"/>
          <w:color w:val="000000"/>
          <w:sz w:val="28"/>
        </w:rPr>
        <w:t>
      В сельском округе действуют 1ветеринарный пункт, 1 убойная площадока, 1 скотомогильник.</w:t>
      </w:r>
    </w:p>
    <w:bookmarkEnd w:id="20"/>
    <w:bookmarkStart w:name="z28" w:id="21"/>
    <w:p>
      <w:pPr>
        <w:spacing w:after="0"/>
        <w:ind w:left="0"/>
        <w:jc w:val="both"/>
      </w:pPr>
      <w:r>
        <w:rPr>
          <w:rFonts w:ascii="Times New Roman"/>
          <w:b w:val="false"/>
          <w:i w:val="false"/>
          <w:color w:val="000000"/>
          <w:sz w:val="28"/>
        </w:rPr>
        <w:t>
      Обеспечение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 не приводящими к существенному снижению урожайности и качественному составу травостоя, на основе Плана по управлению пастбищами и их использованию, дающего направление на более рациональную организацию и использование пастбищных угодий в конкретных природно-экономических условиях.</w:t>
      </w:r>
    </w:p>
    <w:bookmarkEnd w:id="21"/>
    <w:bookmarkStart w:name="z29" w:id="22"/>
    <w:p>
      <w:pPr>
        <w:spacing w:after="0"/>
        <w:ind w:left="0"/>
        <w:jc w:val="both"/>
      </w:pPr>
      <w:r>
        <w:rPr>
          <w:rFonts w:ascii="Times New Roman"/>
          <w:b w:val="false"/>
          <w:i w:val="false"/>
          <w:color w:val="000000"/>
          <w:sz w:val="28"/>
        </w:rPr>
        <w:t>
      План по управлению пастбищами и их использованию предусматривает развитие производства и организацию территории пастбищ на ближайшие 2 года и на период до 5-ти лет.</w:t>
      </w:r>
    </w:p>
    <w:bookmarkEnd w:id="22"/>
    <w:bookmarkStart w:name="z30" w:id="23"/>
    <w:p>
      <w:pPr>
        <w:spacing w:after="0"/>
        <w:ind w:left="0"/>
        <w:jc w:val="both"/>
      </w:pPr>
      <w:r>
        <w:rPr>
          <w:rFonts w:ascii="Times New Roman"/>
          <w:b w:val="false"/>
          <w:i w:val="false"/>
          <w:color w:val="000000"/>
          <w:sz w:val="28"/>
        </w:rPr>
        <w:t>
      Кокжиринский сельский округ расположен в центральной части Тарбагатайского района, его площадь 199,1 тысяч га, что составляет 8,4 % от площади района.</w:t>
      </w:r>
    </w:p>
    <w:bookmarkEnd w:id="23"/>
    <w:bookmarkStart w:name="z31" w:id="24"/>
    <w:p>
      <w:pPr>
        <w:spacing w:after="0"/>
        <w:ind w:left="0"/>
        <w:jc w:val="both"/>
      </w:pPr>
      <w:r>
        <w:rPr>
          <w:rFonts w:ascii="Times New Roman"/>
          <w:b w:val="false"/>
          <w:i w:val="false"/>
          <w:color w:val="000000"/>
          <w:sz w:val="28"/>
        </w:rPr>
        <w:t>
      На севере сельский округ граничит с землями Иргизбайского сельского округа, на юге граничит с землями Урджарского района, на западе граничит с землями Кызыл-Кесекского и Киндиктиского сельских округов, на востоке с землями Екпинского и Сатпаевского сельских округов.</w:t>
      </w:r>
    </w:p>
    <w:bookmarkEnd w:id="24"/>
    <w:bookmarkStart w:name="z32" w:id="25"/>
    <w:p>
      <w:pPr>
        <w:spacing w:after="0"/>
        <w:ind w:left="0"/>
        <w:jc w:val="both"/>
      </w:pPr>
      <w:r>
        <w:rPr>
          <w:rFonts w:ascii="Times New Roman"/>
          <w:b w:val="false"/>
          <w:i w:val="false"/>
          <w:color w:val="000000"/>
          <w:sz w:val="28"/>
        </w:rPr>
        <w:t>
      Центром сельского округа является село Кокжира расположенное в 18 км от районного центра с. Аксуат.</w:t>
      </w:r>
    </w:p>
    <w:bookmarkEnd w:id="25"/>
    <w:bookmarkStart w:name="z33" w:id="26"/>
    <w:p>
      <w:pPr>
        <w:spacing w:after="0"/>
        <w:ind w:left="0"/>
        <w:jc w:val="both"/>
      </w:pPr>
      <w:r>
        <w:rPr>
          <w:rFonts w:ascii="Times New Roman"/>
          <w:b w:val="false"/>
          <w:i w:val="false"/>
          <w:color w:val="000000"/>
          <w:sz w:val="28"/>
        </w:rPr>
        <w:t>
      Согласно административно-территориальному делению на территория сельского округа расположено 5 сельских населенных пункта: - с. Кокжыра, с. Базарка, с. Сериктес, с. Мурсалим, с. Кызбай.</w:t>
      </w:r>
    </w:p>
    <w:bookmarkEnd w:id="26"/>
    <w:bookmarkStart w:name="z34" w:id="27"/>
    <w:p>
      <w:pPr>
        <w:spacing w:after="0"/>
        <w:ind w:left="0"/>
        <w:jc w:val="both"/>
      </w:pPr>
      <w:r>
        <w:rPr>
          <w:rFonts w:ascii="Times New Roman"/>
          <w:b w:val="false"/>
          <w:i w:val="false"/>
          <w:color w:val="000000"/>
          <w:sz w:val="28"/>
        </w:rPr>
        <w:t>
      Транспортная связь с райцентром осуществляется по автодороге областного значения Аксуат – Кокжыра – пикет Бугаз. Дорога по техническому состоянию относится к IV категории с твердым покрытием. Связь с населенными пунктами внутри сельского округа осуществляется по асфальтированным и гравийным межхозяйственным дорогам.</w:t>
      </w:r>
    </w:p>
    <w:bookmarkEnd w:id="27"/>
    <w:bookmarkStart w:name="z35" w:id="28"/>
    <w:p>
      <w:pPr>
        <w:spacing w:after="0"/>
        <w:ind w:left="0"/>
        <w:jc w:val="both"/>
      </w:pPr>
      <w:r>
        <w:rPr>
          <w:rFonts w:ascii="Times New Roman"/>
          <w:b w:val="false"/>
          <w:i w:val="false"/>
          <w:color w:val="000000"/>
          <w:sz w:val="28"/>
        </w:rPr>
        <w:t>
      Основное производственное направление в сельском округе – животноводство в котором преобладают – мясное скотоводство, овцеводство и коневодство. В личных подсобных хозяйствах округа имеется 3351 головы крупного рогатого скота, 411 голов лошадей и 1275 голов овец и коз.</w:t>
      </w:r>
    </w:p>
    <w:bookmarkEnd w:id="28"/>
    <w:bookmarkStart w:name="z36" w:id="29"/>
    <w:p>
      <w:pPr>
        <w:spacing w:after="0"/>
        <w:ind w:left="0"/>
        <w:jc w:val="both"/>
      </w:pPr>
      <w:r>
        <w:rPr>
          <w:rFonts w:ascii="Times New Roman"/>
          <w:b w:val="false"/>
          <w:i w:val="false"/>
          <w:color w:val="000000"/>
          <w:sz w:val="28"/>
        </w:rPr>
        <w:t>
      На территории округа выделяются следующие растительные зоны:</w:t>
      </w:r>
    </w:p>
    <w:bookmarkEnd w:id="29"/>
    <w:bookmarkStart w:name="z37" w:id="30"/>
    <w:p>
      <w:pPr>
        <w:spacing w:after="0"/>
        <w:ind w:left="0"/>
        <w:jc w:val="both"/>
      </w:pPr>
      <w:r>
        <w:rPr>
          <w:rFonts w:ascii="Times New Roman"/>
          <w:b w:val="false"/>
          <w:i w:val="false"/>
          <w:color w:val="000000"/>
          <w:sz w:val="28"/>
        </w:rPr>
        <w:t>
      Предгорная пустынно-степная зона переходная от степей к пустыням. Характерным для этой зоны является наличие в составе растительности степных ксероморфных дернинных злаков и пустынных ксероморфных кустарничков. Сомкнутость растительности не превышает 30-40%, ее высота до 30-40см. Урожайность сухой растительной массы 3- 4ц/га.</w:t>
      </w:r>
    </w:p>
    <w:bookmarkEnd w:id="30"/>
    <w:bookmarkStart w:name="z38" w:id="31"/>
    <w:p>
      <w:pPr>
        <w:spacing w:after="0"/>
        <w:ind w:left="0"/>
        <w:jc w:val="both"/>
      </w:pPr>
      <w:r>
        <w:rPr>
          <w:rFonts w:ascii="Times New Roman"/>
          <w:b w:val="false"/>
          <w:i w:val="false"/>
          <w:color w:val="000000"/>
          <w:sz w:val="28"/>
        </w:rPr>
        <w:t>
      Пустынная зона образуется полынными, полынно-солянковыми и злаково-полынными, отчасти кустарниковыми северными пустынями. В растительном покрове господствуют ксерофиты и галофиты (полынь селетяная, на песках – полынь песчаная и метельчатая), кустарники – саксаул Зайсанский, травянистые своды, солянки качким, полукустарники – ежовник солончаковый, прутняк просторный и др. Сомкнутость растительности не превышает 30-40 %, ее высота до 10-30 см. Урожайность сухой растительной массы 1- 4 ц/га.</w:t>
      </w:r>
    </w:p>
    <w:bookmarkEnd w:id="31"/>
    <w:bookmarkStart w:name="z39" w:id="32"/>
    <w:p>
      <w:pPr>
        <w:spacing w:after="0"/>
        <w:ind w:left="0"/>
        <w:jc w:val="left"/>
      </w:pPr>
      <w:r>
        <w:rPr>
          <w:rFonts w:ascii="Times New Roman"/>
          <w:b/>
          <w:i w:val="false"/>
          <w:color w:val="000000"/>
        </w:rPr>
        <w:t xml:space="preserve"> ОРГАНИЗАЦИЯ ТЕРРИТОРИИ ПАСТБИЩ</w:t>
      </w:r>
    </w:p>
    <w:bookmarkEnd w:id="32"/>
    <w:bookmarkStart w:name="z40" w:id="33"/>
    <w:p>
      <w:pPr>
        <w:spacing w:after="0"/>
        <w:ind w:left="0"/>
        <w:jc w:val="both"/>
      </w:pPr>
      <w:r>
        <w:rPr>
          <w:rFonts w:ascii="Times New Roman"/>
          <w:b w:val="false"/>
          <w:i w:val="false"/>
          <w:color w:val="000000"/>
          <w:sz w:val="28"/>
        </w:rPr>
        <w:t>
      В создании прочной кормовой базы для животноводства и предотвращения процессов деградации пастбищ необходимо правильное использование пастбищ, которые являются одним из основных источников дешевых н питательных кормов.</w:t>
      </w:r>
    </w:p>
    <w:bookmarkEnd w:id="33"/>
    <w:bookmarkStart w:name="z41" w:id="34"/>
    <w:p>
      <w:pPr>
        <w:spacing w:after="0"/>
        <w:ind w:left="0"/>
        <w:jc w:val="both"/>
      </w:pPr>
      <w:r>
        <w:rPr>
          <w:rFonts w:ascii="Times New Roman"/>
          <w:b w:val="false"/>
          <w:i w:val="false"/>
          <w:color w:val="000000"/>
          <w:sz w:val="28"/>
        </w:rPr>
        <w:t xml:space="preserve">
      Основой рационального использования естественных пастбищ является пастбищеоборот. </w:t>
      </w:r>
    </w:p>
    <w:bookmarkEnd w:id="34"/>
    <w:bookmarkStart w:name="z42" w:id="35"/>
    <w:p>
      <w:pPr>
        <w:spacing w:after="0"/>
        <w:ind w:left="0"/>
        <w:jc w:val="both"/>
      </w:pPr>
      <w:r>
        <w:rPr>
          <w:rFonts w:ascii="Times New Roman"/>
          <w:b w:val="false"/>
          <w:i w:val="false"/>
          <w:color w:val="000000"/>
          <w:sz w:val="28"/>
        </w:rPr>
        <w:t>
      Пастбищоборот - это система использования пастбищ и ухода за ними, направленная на поддержание и увеличение продуктивности травостоя. Система, в которой отдельные приемы использования и ухода чередуются, повторяясь по годам в определенной последовательности. Своевременное стравливание травостоя на определенных типах пастбищ, учитывая особенности вегетации растительности; наименьшее количество затрат на организацию пастбищного хозяйства; правильное размещение пастбищных участков, водоисточников и сведения к минимуму холостых передвижений животных, соблюдение необходимых ветеринарно-профилактических требований.</w:t>
      </w:r>
    </w:p>
    <w:bookmarkEnd w:id="35"/>
    <w:bookmarkStart w:name="z43" w:id="36"/>
    <w:p>
      <w:pPr>
        <w:spacing w:after="0"/>
        <w:ind w:left="0"/>
        <w:jc w:val="both"/>
      </w:pPr>
      <w:r>
        <w:rPr>
          <w:rFonts w:ascii="Times New Roman"/>
          <w:b w:val="false"/>
          <w:i w:val="false"/>
          <w:color w:val="000000"/>
          <w:sz w:val="28"/>
        </w:rPr>
        <w:t>
      Использование пастбищ в системе пастбищеоборотов должно обеспечивать удовлетворение каждой группы животных необходимыми пастбищным кормом, предоставляя периодически отдых сильно сбитым участкам, и, предупреждая таким образом, ухудшение качества травостоя.</w:t>
      </w:r>
    </w:p>
    <w:bookmarkEnd w:id="36"/>
    <w:bookmarkStart w:name="z44" w:id="37"/>
    <w:p>
      <w:pPr>
        <w:spacing w:after="0"/>
        <w:ind w:left="0"/>
        <w:jc w:val="both"/>
      </w:pPr>
      <w:r>
        <w:rPr>
          <w:rFonts w:ascii="Times New Roman"/>
          <w:b w:val="false"/>
          <w:i w:val="false"/>
          <w:color w:val="000000"/>
          <w:sz w:val="28"/>
        </w:rPr>
        <w:t xml:space="preserve">
      Предоставление пастбищам отдых в определенное время сезона – одно из важнейших мероприятий по их улучшению. В течение этого времени растения осеменяются и дают всходы молодых побегов, улучшается ботанический состав растительного покрова. Отдых пастбищ дает заметное увеличение урожайности и полезен для всех видов пастбищ. </w:t>
      </w:r>
    </w:p>
    <w:bookmarkEnd w:id="37"/>
    <w:bookmarkStart w:name="z45" w:id="38"/>
    <w:p>
      <w:pPr>
        <w:spacing w:after="0"/>
        <w:ind w:left="0"/>
        <w:jc w:val="both"/>
      </w:pPr>
      <w:r>
        <w:rPr>
          <w:rFonts w:ascii="Times New Roman"/>
          <w:b w:val="false"/>
          <w:i w:val="false"/>
          <w:color w:val="000000"/>
          <w:sz w:val="28"/>
        </w:rPr>
        <w:t>
      Площадь пастбищеоборотных участков определяется исходя из продолжительности пастбищного периода, норм пастбищного корма на одну голову и урожайности пастбищ. Средний размер поля пастбищеоборота составляет от 600 до 1500 га. Использование пастбищ в определенной системе пастбищеоборота является важным условием сохранения ботанического состава травостоя и поддержание его природной урожайности.</w:t>
      </w:r>
    </w:p>
    <w:bookmarkEnd w:id="38"/>
    <w:bookmarkStart w:name="z46" w:id="39"/>
    <w:p>
      <w:pPr>
        <w:spacing w:after="0"/>
        <w:ind w:left="0"/>
        <w:jc w:val="both"/>
      </w:pPr>
      <w:r>
        <w:rPr>
          <w:rFonts w:ascii="Times New Roman"/>
          <w:b w:val="false"/>
          <w:i w:val="false"/>
          <w:color w:val="000000"/>
          <w:sz w:val="28"/>
        </w:rPr>
        <w:t>
      Для правильного пастбищного содержания скота, повышения продуктивности, большое значение имеет организация загонной пастьбы.</w:t>
      </w:r>
    </w:p>
    <w:bookmarkEnd w:id="39"/>
    <w:bookmarkStart w:name="z47" w:id="40"/>
    <w:p>
      <w:pPr>
        <w:spacing w:after="0"/>
        <w:ind w:left="0"/>
        <w:jc w:val="both"/>
      </w:pPr>
      <w:r>
        <w:rPr>
          <w:rFonts w:ascii="Times New Roman"/>
          <w:b w:val="false"/>
          <w:i w:val="false"/>
          <w:color w:val="000000"/>
          <w:sz w:val="28"/>
        </w:rPr>
        <w:t>
      Использование пастбищ по загонам предохраняет травостой от вытаптывания, создает возможность отдыха части загона от выпаса на длительный период, что обеспечивает нормальное отрастание травы и повышение продуктивности пастбищ.</w:t>
      </w:r>
    </w:p>
    <w:bookmarkEnd w:id="40"/>
    <w:bookmarkStart w:name="z48" w:id="41"/>
    <w:p>
      <w:pPr>
        <w:spacing w:after="0"/>
        <w:ind w:left="0"/>
        <w:jc w:val="both"/>
      </w:pPr>
      <w:r>
        <w:rPr>
          <w:rFonts w:ascii="Times New Roman"/>
          <w:b w:val="false"/>
          <w:i w:val="false"/>
          <w:color w:val="000000"/>
          <w:sz w:val="28"/>
        </w:rPr>
        <w:t>
      При закреплении пастбищных угодий за группами и видами животных важное значение имеет наличие водных источников для водопоя. Основная площадь пастбищ обводнена за счет естественных водных источников (водохранилище, озера, реки, ручьи, родники, пруды). Водопой животных осуществляется непосредственно из водных источников, водопойные пункты отсутствуют. Вода во всех источниках хорошего качества, пригодна для водопоя скота. При закреплении пастбищ учитывался предельно допустимый радиус водопоя скота: для овец и коз – 6 км, для коров – 2,5 км, для лошадей – 8 км.</w:t>
      </w:r>
    </w:p>
    <w:bookmarkEnd w:id="41"/>
    <w:bookmarkStart w:name="z49" w:id="42"/>
    <w:p>
      <w:pPr>
        <w:spacing w:after="0"/>
        <w:ind w:left="0"/>
        <w:jc w:val="both"/>
      </w:pPr>
      <w:r>
        <w:rPr>
          <w:rFonts w:ascii="Times New Roman"/>
          <w:b w:val="false"/>
          <w:i w:val="false"/>
          <w:color w:val="000000"/>
          <w:sz w:val="28"/>
        </w:rPr>
        <w:t>
      Кроме того, учтено допустимое поголовье животных, обслуживаемое одним водопойным пунктом: - 250 голов КРС или лошадей, - 2000 голов овец.</w:t>
      </w:r>
    </w:p>
    <w:bookmarkEnd w:id="42"/>
    <w:bookmarkStart w:name="z50" w:id="43"/>
    <w:p>
      <w:pPr>
        <w:spacing w:after="0"/>
        <w:ind w:left="0"/>
        <w:jc w:val="both"/>
      </w:pPr>
      <w:r>
        <w:rPr>
          <w:rFonts w:ascii="Times New Roman"/>
          <w:b w:val="false"/>
          <w:i w:val="false"/>
          <w:color w:val="000000"/>
          <w:sz w:val="28"/>
        </w:rPr>
        <w:t xml:space="preserve">
      На рассматриваемой территории имеются трубчатые и шахтные колодцы за счет которых обводнены зимние пастбища </w:t>
      </w:r>
    </w:p>
    <w:bookmarkEnd w:id="43"/>
    <w:bookmarkStart w:name="z51" w:id="44"/>
    <w:p>
      <w:pPr>
        <w:spacing w:after="0"/>
        <w:ind w:left="0"/>
        <w:jc w:val="both"/>
      </w:pPr>
      <w:r>
        <w:rPr>
          <w:rFonts w:ascii="Times New Roman"/>
          <w:b w:val="false"/>
          <w:i w:val="false"/>
          <w:color w:val="000000"/>
          <w:sz w:val="28"/>
        </w:rPr>
        <w:t>
      В округе, в основном, разводят крупный рогатый скот мясного направления. В мясном скотоводстве принято кормить животных с большим удельным весом пастбищной травы и высококачественного сена, при малых затратах сочных и концентрированных кормов. На хороших пастбищах можно получать на голову средний суточный привес от 700г. и более в зависимости от возраста. Природно-климатическими условиями зоны, структурой и качеством сельскохозяйственных угодий определена стойлово-пастбищная система содержания скота. Продолжительность стойлового периода составляет 130-150 дней. Пастбищный период длится 210-230 дней, начинается в начале апреля и заканчивается в конце ноября. На зимний период скот концентрируется на фермах при населенных пунктах и на зимовках.</w:t>
      </w:r>
    </w:p>
    <w:bookmarkEnd w:id="44"/>
    <w:bookmarkStart w:name="z52" w:id="45"/>
    <w:p>
      <w:pPr>
        <w:spacing w:after="0"/>
        <w:ind w:left="0"/>
        <w:jc w:val="both"/>
      </w:pPr>
      <w:r>
        <w:rPr>
          <w:rFonts w:ascii="Times New Roman"/>
          <w:b w:val="false"/>
          <w:i w:val="false"/>
          <w:color w:val="000000"/>
          <w:sz w:val="28"/>
        </w:rPr>
        <w:t>
      Поголовье крупного рогатого скота представлено в основном казахской белоголовой, алатауской породами, а также помесью других пород.</w:t>
      </w:r>
    </w:p>
    <w:bookmarkEnd w:id="45"/>
    <w:bookmarkStart w:name="z53" w:id="46"/>
    <w:p>
      <w:pPr>
        <w:spacing w:after="0"/>
        <w:ind w:left="0"/>
        <w:jc w:val="both"/>
      </w:pPr>
      <w:r>
        <w:rPr>
          <w:rFonts w:ascii="Times New Roman"/>
          <w:b w:val="false"/>
          <w:i w:val="false"/>
          <w:color w:val="000000"/>
          <w:sz w:val="28"/>
        </w:rPr>
        <w:t xml:space="preserve">
      Коневодство является одной из отраслей животноводства района, источником производства высококачественной и диетической конины, целебного напитка – кумыса, кожевенного сырья. В округе имеется 411 голов лошадей. Развитию табунного коневодства благоприятствует наличие обширных массивов горных и предгорных пастбищ с богатой по составу и питательности растительностью и источниками водопоя. </w:t>
      </w:r>
    </w:p>
    <w:bookmarkEnd w:id="46"/>
    <w:bookmarkStart w:name="z54" w:id="47"/>
    <w:p>
      <w:pPr>
        <w:spacing w:after="0"/>
        <w:ind w:left="0"/>
        <w:jc w:val="both"/>
      </w:pPr>
      <w:r>
        <w:rPr>
          <w:rFonts w:ascii="Times New Roman"/>
          <w:b w:val="false"/>
          <w:i w:val="false"/>
          <w:color w:val="000000"/>
          <w:sz w:val="28"/>
        </w:rPr>
        <w:t>
      Овцеводство является одной из основных отраслей животноводства района, источником производства баранины и шерсти, а также кожевенно-шубно-мехового сырья. В округе имеется 1275 голов овец и коз. Исключительная приспособленность овец к суровым пастбищным условиям содержания в сухостепных и полупустынных зонах, высокая шерстная и мясосальная продуктивность делают отрасль перспективной в районе.</w:t>
      </w:r>
    </w:p>
    <w:bookmarkEnd w:id="47"/>
    <w:bookmarkStart w:name="z55" w:id="48"/>
    <w:p>
      <w:pPr>
        <w:spacing w:after="0"/>
        <w:ind w:left="0"/>
        <w:jc w:val="left"/>
      </w:pPr>
      <w:r>
        <w:rPr>
          <w:rFonts w:ascii="Times New Roman"/>
          <w:b/>
          <w:i w:val="false"/>
          <w:color w:val="000000"/>
        </w:rPr>
        <w:t xml:space="preserve"> Расчет потребности пастбищ для выпаса сельскохозяйственных животных по сельскому округу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скота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паст-бищных кормов, ц</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пастбищных кормов с 1 га, ц</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голо-ву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Кокжиринский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КРС</w:t>
            </w:r>
          </w:p>
          <w:p>
            <w:pPr>
              <w:spacing w:after="20"/>
              <w:ind w:left="20"/>
              <w:jc w:val="both"/>
            </w:pPr>
            <w:r>
              <w:rPr>
                <w:rFonts w:ascii="Times New Roman"/>
                <w:b w:val="false"/>
                <w:i w:val="false"/>
                <w:color w:val="000000"/>
                <w:sz w:val="20"/>
              </w:rPr>
              <w:t>
</w:t>
            </w:r>
            <w:r>
              <w:rPr>
                <w:rFonts w:ascii="Times New Roman"/>
                <w:b w:val="false"/>
                <w:i w:val="false"/>
                <w:color w:val="000000"/>
                <w:sz w:val="20"/>
              </w:rPr>
              <w:t>овцы,козы</w:t>
            </w:r>
          </w:p>
          <w:p>
            <w:pPr>
              <w:spacing w:after="20"/>
              <w:ind w:left="20"/>
              <w:jc w:val="both"/>
            </w:pPr>
            <w:r>
              <w:rPr>
                <w:rFonts w:ascii="Times New Roman"/>
                <w:b w:val="false"/>
                <w:i w:val="false"/>
                <w:color w:val="000000"/>
                <w:sz w:val="20"/>
              </w:rPr>
              <w:t>
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3351</w:t>
            </w:r>
          </w:p>
          <w:p>
            <w:pPr>
              <w:spacing w:after="20"/>
              <w:ind w:left="20"/>
              <w:jc w:val="both"/>
            </w:pPr>
            <w:r>
              <w:rPr>
                <w:rFonts w:ascii="Times New Roman"/>
                <w:b w:val="false"/>
                <w:i w:val="false"/>
                <w:color w:val="000000"/>
                <w:sz w:val="20"/>
              </w:rPr>
              <w:t>
</w:t>
            </w:r>
            <w:r>
              <w:rPr>
                <w:rFonts w:ascii="Times New Roman"/>
                <w:b w:val="false"/>
                <w:i w:val="false"/>
                <w:color w:val="000000"/>
                <w:sz w:val="20"/>
              </w:rPr>
              <w:t>1275</w:t>
            </w:r>
          </w:p>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10</w:t>
            </w:r>
          </w:p>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165285</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134040</w:t>
            </w:r>
          </w:p>
          <w:p>
            <w:pPr>
              <w:spacing w:after="20"/>
              <w:ind w:left="20"/>
              <w:jc w:val="both"/>
            </w:pPr>
            <w:r>
              <w:rPr>
                <w:rFonts w:ascii="Times New Roman"/>
                <w:b w:val="false"/>
                <w:i w:val="false"/>
                <w:color w:val="000000"/>
                <w:sz w:val="20"/>
              </w:rPr>
              <w:t>
</w:t>
            </w:r>
            <w:r>
              <w:rPr>
                <w:rFonts w:ascii="Times New Roman"/>
                <w:b w:val="false"/>
                <w:i w:val="false"/>
                <w:color w:val="000000"/>
                <w:sz w:val="20"/>
              </w:rPr>
              <w:t>12750</w:t>
            </w:r>
          </w:p>
          <w:p>
            <w:pPr>
              <w:spacing w:after="20"/>
              <w:ind w:left="20"/>
              <w:jc w:val="both"/>
            </w:pPr>
            <w:r>
              <w:rPr>
                <w:rFonts w:ascii="Times New Roman"/>
                <w:b w:val="false"/>
                <w:i w:val="false"/>
                <w:color w:val="000000"/>
                <w:sz w:val="20"/>
              </w:rPr>
              <w:t>
18495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16528,5</w:t>
            </w:r>
          </w:p>
        </w:tc>
      </w:tr>
    </w:tbl>
    <w:bookmarkStart w:name="z68" w:id="53"/>
    <w:p>
      <w:pPr>
        <w:spacing w:after="0"/>
        <w:ind w:left="0"/>
        <w:jc w:val="both"/>
      </w:pPr>
      <w:r>
        <w:rPr>
          <w:rFonts w:ascii="Times New Roman"/>
          <w:b w:val="false"/>
          <w:i w:val="false"/>
          <w:color w:val="000000"/>
          <w:sz w:val="28"/>
        </w:rPr>
        <w:t>
      Таблица 5</w:t>
      </w:r>
    </w:p>
    <w:bookmarkEnd w:id="53"/>
    <w:bookmarkStart w:name="z69" w:id="54"/>
    <w:p>
      <w:pPr>
        <w:spacing w:after="0"/>
        <w:ind w:left="0"/>
        <w:jc w:val="left"/>
      </w:pPr>
      <w:r>
        <w:rPr>
          <w:rFonts w:ascii="Times New Roman"/>
          <w:b/>
          <w:i w:val="false"/>
          <w:color w:val="000000"/>
        </w:rPr>
        <w:t xml:space="preserve">       Обеспеченность пастбищами скота по сельскому округу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скота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(фактич) голов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пастбищ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в границах: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Недостаток –</w:t>
            </w:r>
          </w:p>
          <w:bookmarkEnd w:id="55"/>
          <w:p>
            <w:pPr>
              <w:spacing w:after="20"/>
              <w:ind w:left="20"/>
              <w:jc w:val="both"/>
            </w:pPr>
            <w:r>
              <w:rPr>
                <w:rFonts w:ascii="Times New Roman"/>
                <w:b w:val="false"/>
                <w:i w:val="false"/>
                <w:color w:val="000000"/>
                <w:sz w:val="20"/>
              </w:rPr>
              <w:t>
(излишек +),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 с/х назнач.</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Кокжирин-ский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КРС</w:t>
            </w:r>
          </w:p>
          <w:p>
            <w:pPr>
              <w:spacing w:after="20"/>
              <w:ind w:left="20"/>
              <w:jc w:val="both"/>
            </w:pPr>
            <w:r>
              <w:rPr>
                <w:rFonts w:ascii="Times New Roman"/>
                <w:b w:val="false"/>
                <w:i w:val="false"/>
                <w:color w:val="000000"/>
                <w:sz w:val="20"/>
              </w:rPr>
              <w:t>
</w:t>
            </w:r>
            <w:r>
              <w:rPr>
                <w:rFonts w:ascii="Times New Roman"/>
                <w:b w:val="false"/>
                <w:i w:val="false"/>
                <w:color w:val="000000"/>
                <w:sz w:val="20"/>
              </w:rPr>
              <w:t>овцы и козы</w:t>
            </w:r>
          </w:p>
          <w:p>
            <w:pPr>
              <w:spacing w:after="20"/>
              <w:ind w:left="20"/>
              <w:jc w:val="both"/>
            </w:pPr>
            <w:r>
              <w:rPr>
                <w:rFonts w:ascii="Times New Roman"/>
                <w:b w:val="false"/>
                <w:i w:val="false"/>
                <w:color w:val="000000"/>
                <w:sz w:val="20"/>
              </w:rPr>
              <w:t>
лошади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7"/>
          <w:p>
            <w:pPr>
              <w:spacing w:after="20"/>
              <w:ind w:left="20"/>
              <w:jc w:val="both"/>
            </w:pPr>
            <w:r>
              <w:rPr>
                <w:rFonts w:ascii="Times New Roman"/>
                <w:b w:val="false"/>
                <w:i w:val="false"/>
                <w:color w:val="000000"/>
                <w:sz w:val="20"/>
              </w:rPr>
              <w:t>
 </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3351</w:t>
            </w:r>
          </w:p>
          <w:p>
            <w:pPr>
              <w:spacing w:after="20"/>
              <w:ind w:left="20"/>
              <w:jc w:val="both"/>
            </w:pPr>
            <w:r>
              <w:rPr>
                <w:rFonts w:ascii="Times New Roman"/>
                <w:b w:val="false"/>
                <w:i w:val="false"/>
                <w:color w:val="000000"/>
                <w:sz w:val="20"/>
              </w:rPr>
              <w:t>
</w:t>
            </w:r>
            <w:r>
              <w:rPr>
                <w:rFonts w:ascii="Times New Roman"/>
                <w:b w:val="false"/>
                <w:i w:val="false"/>
                <w:color w:val="000000"/>
                <w:sz w:val="20"/>
              </w:rPr>
              <w:t>1275</w:t>
            </w:r>
          </w:p>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16528,5</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13404</w:t>
            </w:r>
          </w:p>
          <w:p>
            <w:pPr>
              <w:spacing w:after="20"/>
              <w:ind w:left="20"/>
              <w:jc w:val="both"/>
            </w:pPr>
            <w:r>
              <w:rPr>
                <w:rFonts w:ascii="Times New Roman"/>
                <w:b w:val="false"/>
                <w:i w:val="false"/>
                <w:color w:val="000000"/>
                <w:sz w:val="20"/>
              </w:rPr>
              <w:t>
</w:t>
            </w:r>
            <w:r>
              <w:rPr>
                <w:rFonts w:ascii="Times New Roman"/>
                <w:b w:val="false"/>
                <w:i w:val="false"/>
                <w:color w:val="000000"/>
                <w:sz w:val="20"/>
              </w:rPr>
              <w:t>1275</w:t>
            </w:r>
          </w:p>
          <w:p>
            <w:pPr>
              <w:spacing w:after="20"/>
              <w:ind w:left="20"/>
              <w:jc w:val="both"/>
            </w:pPr>
            <w:r>
              <w:rPr>
                <w:rFonts w:ascii="Times New Roman"/>
                <w:b w:val="false"/>
                <w:i w:val="false"/>
                <w:color w:val="000000"/>
                <w:sz w:val="20"/>
              </w:rPr>
              <w:t>
1849,5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- 421,2</w:t>
            </w:r>
          </w:p>
        </w:tc>
      </w:tr>
    </w:tbl>
    <w:bookmarkStart w:name="z80" w:id="59"/>
    <w:p>
      <w:pPr>
        <w:spacing w:after="0"/>
        <w:ind w:left="0"/>
        <w:jc w:val="left"/>
      </w:pPr>
      <w:r>
        <w:rPr>
          <w:rFonts w:ascii="Times New Roman"/>
          <w:b/>
          <w:i w:val="false"/>
          <w:color w:val="000000"/>
        </w:rPr>
        <w:t xml:space="preserve"> Территория с особым режимом использования земель</w:t>
      </w:r>
    </w:p>
    <w:bookmarkEnd w:id="59"/>
    <w:bookmarkStart w:name="z81" w:id="60"/>
    <w:p>
      <w:pPr>
        <w:spacing w:after="0"/>
        <w:ind w:left="0"/>
        <w:jc w:val="both"/>
      </w:pPr>
      <w:r>
        <w:rPr>
          <w:rFonts w:ascii="Times New Roman"/>
          <w:b w:val="false"/>
          <w:i w:val="false"/>
          <w:color w:val="000000"/>
          <w:sz w:val="28"/>
        </w:rPr>
        <w:t>
      Водоохранные зоны и полосы и режим их хозяйственной деятельности устанавливается местным исполнительным органом области на основании утвержденной проектной документации, по согласованию с уполномоченным органом в области использования и охраны водного фонда, водоснабжения, водоотведения, уполномоченным органом в области санитарно-эпидемиологического благополучия, уполномоченным государственным органом в области охраны окружающей среды, для предотвращения загрязнения, истощения и поддержки водных объектов в состоянии, соответствующем санитарным и экологическим нормам и требованиям, а также сохранение растительного и животного мира.</w:t>
      </w:r>
    </w:p>
    <w:bookmarkEnd w:id="60"/>
    <w:bookmarkStart w:name="z82" w:id="61"/>
    <w:p>
      <w:pPr>
        <w:spacing w:after="0"/>
        <w:ind w:left="0"/>
        <w:jc w:val="both"/>
      </w:pPr>
      <w:r>
        <w:rPr>
          <w:rFonts w:ascii="Times New Roman"/>
          <w:b w:val="false"/>
          <w:i w:val="false"/>
          <w:color w:val="000000"/>
          <w:sz w:val="28"/>
        </w:rPr>
        <w:t xml:space="preserve">
      В соответствии с требованиями </w:t>
      </w:r>
      <w:r>
        <w:rPr>
          <w:rFonts w:ascii="Times New Roman"/>
          <w:b w:val="false"/>
          <w:i w:val="false"/>
          <w:color w:val="000000"/>
          <w:sz w:val="28"/>
        </w:rPr>
        <w:t>статьи 125</w:t>
      </w:r>
      <w:r>
        <w:rPr>
          <w:rFonts w:ascii="Times New Roman"/>
          <w:b w:val="false"/>
          <w:i w:val="false"/>
          <w:color w:val="000000"/>
          <w:sz w:val="28"/>
        </w:rPr>
        <w:t xml:space="preserve"> Водного Кодекса Республики Казахстан в пределах водоохраной полосы запрещается:</w:t>
      </w:r>
    </w:p>
    <w:bookmarkEnd w:id="61"/>
    <w:bookmarkStart w:name="z83" w:id="62"/>
    <w:p>
      <w:pPr>
        <w:spacing w:after="0"/>
        <w:ind w:left="0"/>
        <w:jc w:val="both"/>
      </w:pPr>
      <w:r>
        <w:rPr>
          <w:rFonts w:ascii="Times New Roman"/>
          <w:b w:val="false"/>
          <w:i w:val="false"/>
          <w:color w:val="000000"/>
          <w:sz w:val="28"/>
        </w:rPr>
        <w:t>
      - хозяйственная и иная деятельность, ухудшающая качественное и гидрологическое состояние (загрязнение, засорение, истощение) водных объектов;</w:t>
      </w:r>
    </w:p>
    <w:bookmarkEnd w:id="62"/>
    <w:bookmarkStart w:name="z84" w:id="63"/>
    <w:p>
      <w:pPr>
        <w:spacing w:after="0"/>
        <w:ind w:left="0"/>
        <w:jc w:val="both"/>
      </w:pPr>
      <w:r>
        <w:rPr>
          <w:rFonts w:ascii="Times New Roman"/>
          <w:b w:val="false"/>
          <w:i w:val="false"/>
          <w:color w:val="000000"/>
          <w:sz w:val="28"/>
        </w:rPr>
        <w:t>
      - строительство и эксплуатация зданий и сооружений, за исключением водохозяйственных и водозаборных сооружений и их коммуникаций, мостов, мостовых сооружений, причалов, портов, пирсов и иных объектов транспортной инфраструктуры, связанных с деятельностью водного транспорта, а также рекреационных зон на водном объекте;</w:t>
      </w:r>
    </w:p>
    <w:bookmarkEnd w:id="63"/>
    <w:bookmarkStart w:name="z85" w:id="64"/>
    <w:p>
      <w:pPr>
        <w:spacing w:after="0"/>
        <w:ind w:left="0"/>
        <w:jc w:val="both"/>
      </w:pPr>
      <w:r>
        <w:rPr>
          <w:rFonts w:ascii="Times New Roman"/>
          <w:b w:val="false"/>
          <w:i w:val="false"/>
          <w:color w:val="000000"/>
          <w:sz w:val="28"/>
        </w:rPr>
        <w:t>
      - эксплуатация существующих объектов, не обеспеченных сооружениями и устройствами, предотвращающими загрязнение водных объектов и их водоохранных зон и полос;</w:t>
      </w:r>
    </w:p>
    <w:bookmarkEnd w:id="64"/>
    <w:bookmarkStart w:name="z86" w:id="65"/>
    <w:p>
      <w:pPr>
        <w:spacing w:after="0"/>
        <w:ind w:left="0"/>
        <w:jc w:val="both"/>
      </w:pPr>
      <w:r>
        <w:rPr>
          <w:rFonts w:ascii="Times New Roman"/>
          <w:b w:val="false"/>
          <w:i w:val="false"/>
          <w:color w:val="000000"/>
          <w:sz w:val="28"/>
        </w:rPr>
        <w:t>
      - проведение работ, нарушающих почвенный и травяной покров (в том числе распашка земель, выпас скота, добыча полезных ископаемых), за исключением обработки земель для залужения отдельных участков, посева и посадки леса;</w:t>
      </w:r>
    </w:p>
    <w:bookmarkEnd w:id="65"/>
    <w:bookmarkStart w:name="z87" w:id="66"/>
    <w:p>
      <w:pPr>
        <w:spacing w:after="0"/>
        <w:ind w:left="0"/>
        <w:jc w:val="both"/>
      </w:pPr>
      <w:r>
        <w:rPr>
          <w:rFonts w:ascii="Times New Roman"/>
          <w:b w:val="false"/>
          <w:i w:val="false"/>
          <w:color w:val="000000"/>
          <w:sz w:val="28"/>
        </w:rPr>
        <w:t xml:space="preserve">
      - устройство палаточных городков, постоянных стоянок для транспортных средств, летних лагерей для скота; </w:t>
      </w:r>
    </w:p>
    <w:bookmarkEnd w:id="66"/>
    <w:bookmarkStart w:name="z88" w:id="67"/>
    <w:p>
      <w:pPr>
        <w:spacing w:after="0"/>
        <w:ind w:left="0"/>
        <w:jc w:val="both"/>
      </w:pPr>
      <w:r>
        <w:rPr>
          <w:rFonts w:ascii="Times New Roman"/>
          <w:b w:val="false"/>
          <w:i w:val="false"/>
          <w:color w:val="000000"/>
          <w:sz w:val="28"/>
        </w:rPr>
        <w:t>
      - применение всех видов удобрений.</w:t>
      </w:r>
    </w:p>
    <w:bookmarkEnd w:id="67"/>
    <w:bookmarkStart w:name="z89" w:id="68"/>
    <w:p>
      <w:pPr>
        <w:spacing w:after="0"/>
        <w:ind w:left="0"/>
        <w:jc w:val="both"/>
      </w:pPr>
      <w:r>
        <w:rPr>
          <w:rFonts w:ascii="Times New Roman"/>
          <w:b w:val="false"/>
          <w:i w:val="false"/>
          <w:color w:val="000000"/>
          <w:sz w:val="28"/>
        </w:rPr>
        <w:t>
      в пределах водоохранных зон запрещается:</w:t>
      </w:r>
    </w:p>
    <w:bookmarkEnd w:id="68"/>
    <w:bookmarkStart w:name="z90" w:id="69"/>
    <w:p>
      <w:pPr>
        <w:spacing w:after="0"/>
        <w:ind w:left="0"/>
        <w:jc w:val="both"/>
      </w:pPr>
      <w:r>
        <w:rPr>
          <w:rFonts w:ascii="Times New Roman"/>
          <w:b w:val="false"/>
          <w:i w:val="false"/>
          <w:color w:val="000000"/>
          <w:sz w:val="28"/>
        </w:rPr>
        <w:t>
      - ввод в эксплуатацию новых и реконструированных объектов, не обеспеченных сооружениями и устройствами, предотвращающими загрязнение и засорение водных объектов и их водоохранных зон и полос;</w:t>
      </w:r>
    </w:p>
    <w:bookmarkEnd w:id="69"/>
    <w:bookmarkStart w:name="z91" w:id="70"/>
    <w:p>
      <w:pPr>
        <w:spacing w:after="0"/>
        <w:ind w:left="0"/>
        <w:jc w:val="both"/>
      </w:pPr>
      <w:r>
        <w:rPr>
          <w:rFonts w:ascii="Times New Roman"/>
          <w:b w:val="false"/>
          <w:i w:val="false"/>
          <w:color w:val="000000"/>
          <w:sz w:val="28"/>
        </w:rPr>
        <w:t>
      - проведение реконструкции зданий, сооружений, коммуникаций и других объектов, а также производство строительных, дноуглубительных и взрывных работ, добыча полезных ископаемых, прокладка кабелей, трубопроводов и других коммуникаций, буровых, земельных и иных работ без проектов, согласованных в установленном порядке с местными исполнительными органами, уполномоченным органом, уполномоченным государственным органом в области охраны окружающей среды, центральным уполномоченным органом по управлению земельными ресурсами, уполномоченными органами в области энергоснабжения и санитарно-эпидемиологического благополучия населения и другими заинтересованными органами;</w:t>
      </w:r>
    </w:p>
    <w:bookmarkEnd w:id="70"/>
    <w:bookmarkStart w:name="z92" w:id="71"/>
    <w:p>
      <w:pPr>
        <w:spacing w:after="0"/>
        <w:ind w:left="0"/>
        <w:jc w:val="both"/>
      </w:pPr>
      <w:r>
        <w:rPr>
          <w:rFonts w:ascii="Times New Roman"/>
          <w:b w:val="false"/>
          <w:i w:val="false"/>
          <w:color w:val="000000"/>
          <w:sz w:val="28"/>
        </w:rPr>
        <w:t>
      - размещение и строительство складов для хранения удобрений, пестицидов, ядохимикатов и нефтепродуктов, пунктов технического обслуживания, мойки транспортных средств и сельскохозяйственной техники, механических мастерских, устройство свалок бытовых и промышленных отходов, площадок для заправки аппаратуры пестицидами и ядохимикатами, взлетно-посадочных полос для проведения авиационно-химических работ, а также размещение других объектов, отрицательно влияющих на качество воды;</w:t>
      </w:r>
    </w:p>
    <w:bookmarkEnd w:id="71"/>
    <w:bookmarkStart w:name="z93" w:id="72"/>
    <w:p>
      <w:pPr>
        <w:spacing w:after="0"/>
        <w:ind w:left="0"/>
        <w:jc w:val="both"/>
      </w:pPr>
      <w:r>
        <w:rPr>
          <w:rFonts w:ascii="Times New Roman"/>
          <w:b w:val="false"/>
          <w:i w:val="false"/>
          <w:color w:val="000000"/>
          <w:sz w:val="28"/>
        </w:rPr>
        <w:t>
      - размещение животноводческих ферм и комплексов, накопителей сточных вод, полей орошения сточными водами, кладбищ, скотомогильников, а также других объектов обусловливающих опасность микробного загрязнения поверхностных и подземных вод;</w:t>
      </w:r>
    </w:p>
    <w:bookmarkEnd w:id="72"/>
    <w:bookmarkStart w:name="z94" w:id="73"/>
    <w:p>
      <w:pPr>
        <w:spacing w:after="0"/>
        <w:ind w:left="0"/>
        <w:jc w:val="both"/>
      </w:pPr>
      <w:r>
        <w:rPr>
          <w:rFonts w:ascii="Times New Roman"/>
          <w:b w:val="false"/>
          <w:i w:val="false"/>
          <w:color w:val="000000"/>
          <w:sz w:val="28"/>
        </w:rPr>
        <w:t>
      - выпас скота с превышением нормы нагрузки, купание и санитарная обработка скота и другие виды хозяйственной деятельности, ухудшающие режим водоемов;</w:t>
      </w:r>
    </w:p>
    <w:bookmarkEnd w:id="73"/>
    <w:bookmarkStart w:name="z95" w:id="74"/>
    <w:p>
      <w:pPr>
        <w:spacing w:after="0"/>
        <w:ind w:left="0"/>
        <w:jc w:val="both"/>
      </w:pPr>
      <w:r>
        <w:rPr>
          <w:rFonts w:ascii="Times New Roman"/>
          <w:b w:val="false"/>
          <w:i w:val="false"/>
          <w:color w:val="000000"/>
          <w:sz w:val="28"/>
        </w:rPr>
        <w:t>
      - применение способа авиа 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w:t>
      </w:r>
    </w:p>
    <w:bookmarkEnd w:id="74"/>
    <w:bookmarkStart w:name="z96" w:id="75"/>
    <w:p>
      <w:pPr>
        <w:spacing w:after="0"/>
        <w:ind w:left="0"/>
        <w:jc w:val="both"/>
      </w:pPr>
      <w:r>
        <w:rPr>
          <w:rFonts w:ascii="Times New Roman"/>
          <w:b w:val="false"/>
          <w:i w:val="false"/>
          <w:color w:val="000000"/>
          <w:sz w:val="28"/>
        </w:rPr>
        <w:t>
      - применение пестицидов, на которые не установлены предельно допустимые концентрации, внесение удобрений по снежному покрову, а также использование в качестве удобрений не обезвреженных навозосодержаших сточных вод и стойких хлорорганических ядохимикатов. При необходимости проведения вынужденной санитарной обработки в водоохраной зоне допускается применение мало- и среднетоксичных нестойких пестицидов;</w:t>
      </w:r>
    </w:p>
    <w:bookmarkEnd w:id="75"/>
    <w:bookmarkStart w:name="z97" w:id="76"/>
    <w:p>
      <w:pPr>
        <w:spacing w:after="0"/>
        <w:ind w:left="0"/>
        <w:jc w:val="both"/>
      </w:pPr>
      <w:r>
        <w:rPr>
          <w:rFonts w:ascii="Times New Roman"/>
          <w:b w:val="false"/>
          <w:i w:val="false"/>
          <w:color w:val="000000"/>
          <w:sz w:val="28"/>
        </w:rPr>
        <w:t>
      Водопой скота необходимо осуществлять на водопойных площадках водных источников и каптированных родников с соблюдением санитарных норм. Для улучшения санитарных условий насаленных пунктов необходимо строительство специальных площадок для склада навоза и отходов животноводческих ферм, строительство мест для свалок бытовых отходов, создавать специальные места для мойки техники, создавать земляные валы в местах хранения горюче смазочных материалов.</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Кокжиринский сельский округ</w:t>
            </w:r>
            <w:r>
              <w:br/>
            </w:r>
            <w:r>
              <w:rPr>
                <w:rFonts w:ascii="Times New Roman"/>
                <w:b w:val="false"/>
                <w:i w:val="false"/>
                <w:color w:val="000000"/>
                <w:sz w:val="20"/>
              </w:rPr>
              <w:t>на 2024-2025 годы</w:t>
            </w:r>
          </w:p>
        </w:tc>
      </w:tr>
    </w:tbl>
    <w:bookmarkStart w:name="z99" w:id="77"/>
    <w:p>
      <w:pPr>
        <w:spacing w:after="0"/>
        <w:ind w:left="0"/>
        <w:jc w:val="left"/>
      </w:pPr>
      <w:r>
        <w:rPr>
          <w:rFonts w:ascii="Times New Roman"/>
          <w:b/>
          <w:i w:val="false"/>
          <w:color w:val="000000"/>
        </w:rPr>
        <w:t xml:space="preserve"> Схема (карта) расположения пастбищ на территории Кокжиринский сельский округ в разрезе категорий земель, собственников земельных участков и землепользователей на основании правоустанавливающих документов</w:t>
      </w:r>
    </w:p>
    <w:bookmarkEnd w:id="77"/>
    <w:bookmarkStart w:name="z100"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78105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Кокжиринский сельский округ</w:t>
            </w:r>
            <w:r>
              <w:br/>
            </w:r>
            <w:r>
              <w:rPr>
                <w:rFonts w:ascii="Times New Roman"/>
                <w:b w:val="false"/>
                <w:i w:val="false"/>
                <w:color w:val="000000"/>
                <w:sz w:val="20"/>
              </w:rPr>
              <w:t>на 2024-2025 годы</w:t>
            </w:r>
          </w:p>
        </w:tc>
      </w:tr>
    </w:tbl>
    <w:bookmarkStart w:name="z102" w:id="79"/>
    <w:p>
      <w:pPr>
        <w:spacing w:after="0"/>
        <w:ind w:left="0"/>
        <w:jc w:val="left"/>
      </w:pPr>
      <w:r>
        <w:rPr>
          <w:rFonts w:ascii="Times New Roman"/>
          <w:b/>
          <w:i w:val="false"/>
          <w:color w:val="000000"/>
        </w:rPr>
        <w:t xml:space="preserve"> Приемлемые схемы пастбищеоборотов</w:t>
      </w:r>
    </w:p>
    <w:bookmarkEnd w:id="79"/>
    <w:bookmarkStart w:name="z103"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60071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071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Кокжиринский сельский округ</w:t>
            </w:r>
            <w:r>
              <w:br/>
            </w:r>
            <w:r>
              <w:rPr>
                <w:rFonts w:ascii="Times New Roman"/>
                <w:b w:val="false"/>
                <w:i w:val="false"/>
                <w:color w:val="000000"/>
                <w:sz w:val="20"/>
              </w:rPr>
              <w:t>на 2024-2025 годы</w:t>
            </w:r>
          </w:p>
        </w:tc>
      </w:tr>
    </w:tbl>
    <w:bookmarkStart w:name="z105" w:id="81"/>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81"/>
    <w:bookmarkStart w:name="z106"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58674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67400" cy="928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Кокжиринский сельский округ</w:t>
            </w:r>
            <w:r>
              <w:br/>
            </w:r>
            <w:r>
              <w:rPr>
                <w:rFonts w:ascii="Times New Roman"/>
                <w:b w:val="false"/>
                <w:i w:val="false"/>
                <w:color w:val="000000"/>
                <w:sz w:val="20"/>
              </w:rPr>
              <w:t>на 2024-2025 годы</w:t>
            </w:r>
          </w:p>
        </w:tc>
      </w:tr>
    </w:tbl>
    <w:bookmarkStart w:name="z108" w:id="83"/>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83"/>
    <w:bookmarkStart w:name="z109"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92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Кокжиринский сельский округ</w:t>
            </w:r>
            <w:r>
              <w:br/>
            </w:r>
            <w:r>
              <w:rPr>
                <w:rFonts w:ascii="Times New Roman"/>
                <w:b w:val="false"/>
                <w:i w:val="false"/>
                <w:color w:val="000000"/>
                <w:sz w:val="20"/>
              </w:rPr>
              <w:t>на 2024-2025 годы</w:t>
            </w:r>
          </w:p>
        </w:tc>
      </w:tr>
    </w:tbl>
    <w:bookmarkStart w:name="z111" w:id="85"/>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85"/>
    <w:bookmarkStart w:name="z11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58674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867400" cy="928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w:t>
            </w:r>
            <w:r>
              <w:br/>
            </w:r>
            <w:r>
              <w:rPr>
                <w:rFonts w:ascii="Times New Roman"/>
                <w:b w:val="false"/>
                <w:i w:val="false"/>
                <w:color w:val="000000"/>
                <w:sz w:val="20"/>
              </w:rPr>
              <w:t>Кокжиринский сельский округ</w:t>
            </w:r>
            <w:r>
              <w:br/>
            </w:r>
            <w:r>
              <w:rPr>
                <w:rFonts w:ascii="Times New Roman"/>
                <w:b w:val="false"/>
                <w:i w:val="false"/>
                <w:color w:val="000000"/>
                <w:sz w:val="20"/>
              </w:rPr>
              <w:t>на 2024-2025 годы</w:t>
            </w:r>
          </w:p>
        </w:tc>
      </w:tr>
    </w:tbl>
    <w:bookmarkStart w:name="z114" w:id="87"/>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городе районного значения, селе, сельском округе</w:t>
      </w:r>
    </w:p>
    <w:bookmarkEnd w:id="87"/>
    <w:bookmarkStart w:name="z115"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747000" cy="927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0" cy="927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Плану по управлению</w:t>
            </w:r>
            <w:r>
              <w:br/>
            </w:r>
            <w:r>
              <w:rPr>
                <w:rFonts w:ascii="Times New Roman"/>
                <w:b w:val="false"/>
                <w:i w:val="false"/>
                <w:color w:val="000000"/>
                <w:sz w:val="20"/>
              </w:rPr>
              <w:t>пастбищами и их</w:t>
            </w:r>
            <w:r>
              <w:br/>
            </w:r>
            <w:r>
              <w:rPr>
                <w:rFonts w:ascii="Times New Roman"/>
                <w:b w:val="false"/>
                <w:i w:val="false"/>
                <w:color w:val="000000"/>
                <w:sz w:val="20"/>
              </w:rPr>
              <w:t>использованию по</w:t>
            </w:r>
            <w:r>
              <w:br/>
            </w:r>
            <w:r>
              <w:rPr>
                <w:rFonts w:ascii="Times New Roman"/>
                <w:b w:val="false"/>
                <w:i w:val="false"/>
                <w:color w:val="000000"/>
                <w:sz w:val="20"/>
              </w:rPr>
              <w:t>Кокжиринский сельский округ</w:t>
            </w:r>
            <w:r>
              <w:br/>
            </w:r>
            <w:r>
              <w:rPr>
                <w:rFonts w:ascii="Times New Roman"/>
                <w:b w:val="false"/>
                <w:i w:val="false"/>
                <w:color w:val="000000"/>
                <w:sz w:val="20"/>
              </w:rPr>
              <w:t>на 2024-2025 годы</w:t>
            </w:r>
          </w:p>
        </w:tc>
      </w:tr>
    </w:tbl>
    <w:bookmarkStart w:name="z117" w:id="89"/>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перегона скота на пастбища и возврата скота от пастбища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0"/>
          <w:p>
            <w:pPr>
              <w:spacing w:after="20"/>
              <w:ind w:left="20"/>
              <w:jc w:val="both"/>
            </w:pPr>
            <w:r>
              <w:rPr>
                <w:rFonts w:ascii="Times New Roman"/>
                <w:b w:val="false"/>
                <w:i w:val="false"/>
                <w:color w:val="000000"/>
                <w:sz w:val="20"/>
              </w:rPr>
              <w:t xml:space="preserve">
от ІІ декады марта </w:t>
            </w:r>
          </w:p>
          <w:bookmarkEnd w:id="90"/>
          <w:p>
            <w:pPr>
              <w:spacing w:after="20"/>
              <w:ind w:left="20"/>
              <w:jc w:val="both"/>
            </w:pPr>
            <w:r>
              <w:rPr>
                <w:rFonts w:ascii="Times New Roman"/>
                <w:b w:val="false"/>
                <w:i w:val="false"/>
                <w:color w:val="000000"/>
                <w:sz w:val="20"/>
              </w:rPr>
              <w:t>
до ІІ-декады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1"/>
          <w:p>
            <w:pPr>
              <w:spacing w:after="20"/>
              <w:ind w:left="20"/>
              <w:jc w:val="both"/>
            </w:pPr>
            <w:r>
              <w:rPr>
                <w:rFonts w:ascii="Times New Roman"/>
                <w:b w:val="false"/>
                <w:i w:val="false"/>
                <w:color w:val="000000"/>
                <w:sz w:val="20"/>
              </w:rPr>
              <w:t xml:space="preserve">
 от ІІ декады мая </w:t>
            </w:r>
          </w:p>
          <w:bookmarkEnd w:id="91"/>
          <w:p>
            <w:pPr>
              <w:spacing w:after="20"/>
              <w:ind w:left="20"/>
              <w:jc w:val="both"/>
            </w:pPr>
            <w:r>
              <w:rPr>
                <w:rFonts w:ascii="Times New Roman"/>
                <w:b w:val="false"/>
                <w:i w:val="false"/>
                <w:color w:val="000000"/>
                <w:sz w:val="20"/>
              </w:rPr>
              <w:t>
до ІІ-декады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2"/>
          <w:p>
            <w:pPr>
              <w:spacing w:after="20"/>
              <w:ind w:left="20"/>
              <w:jc w:val="both"/>
            </w:pPr>
            <w:r>
              <w:rPr>
                <w:rFonts w:ascii="Times New Roman"/>
                <w:b w:val="false"/>
                <w:i w:val="false"/>
                <w:color w:val="000000"/>
                <w:sz w:val="20"/>
              </w:rPr>
              <w:t>
 от ІІ декады октября</w:t>
            </w:r>
          </w:p>
          <w:bookmarkEnd w:id="92"/>
          <w:p>
            <w:pPr>
              <w:spacing w:after="20"/>
              <w:ind w:left="20"/>
              <w:jc w:val="both"/>
            </w:pPr>
            <w:r>
              <w:rPr>
                <w:rFonts w:ascii="Times New Roman"/>
                <w:b w:val="false"/>
                <w:i w:val="false"/>
                <w:color w:val="000000"/>
                <w:sz w:val="20"/>
              </w:rPr>
              <w:t>
до ІІІ-декады ноября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ІІ декады ноября до ІІ-декады марта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3"/>
          <w:p>
            <w:pPr>
              <w:spacing w:after="20"/>
              <w:ind w:left="20"/>
              <w:jc w:val="both"/>
            </w:pPr>
            <w:r>
              <w:rPr>
                <w:rFonts w:ascii="Times New Roman"/>
                <w:b w:val="false"/>
                <w:i w:val="false"/>
                <w:color w:val="000000"/>
                <w:sz w:val="20"/>
              </w:rPr>
              <w:t xml:space="preserve">
 от ІІ декады марта </w:t>
            </w:r>
          </w:p>
          <w:bookmarkEnd w:id="93"/>
          <w:p>
            <w:pPr>
              <w:spacing w:after="20"/>
              <w:ind w:left="20"/>
              <w:jc w:val="both"/>
            </w:pPr>
            <w:r>
              <w:rPr>
                <w:rFonts w:ascii="Times New Roman"/>
                <w:b w:val="false"/>
                <w:i w:val="false"/>
                <w:color w:val="000000"/>
                <w:sz w:val="20"/>
              </w:rPr>
              <w:t>
до ІІ-декады мая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4"/>
          <w:p>
            <w:pPr>
              <w:spacing w:after="20"/>
              <w:ind w:left="20"/>
              <w:jc w:val="both"/>
            </w:pPr>
            <w:r>
              <w:rPr>
                <w:rFonts w:ascii="Times New Roman"/>
                <w:b w:val="false"/>
                <w:i w:val="false"/>
                <w:color w:val="000000"/>
                <w:sz w:val="20"/>
              </w:rPr>
              <w:t xml:space="preserve">
 от ІІ декады мая </w:t>
            </w:r>
          </w:p>
          <w:bookmarkEnd w:id="94"/>
          <w:p>
            <w:pPr>
              <w:spacing w:after="20"/>
              <w:ind w:left="20"/>
              <w:jc w:val="both"/>
            </w:pPr>
            <w:r>
              <w:rPr>
                <w:rFonts w:ascii="Times New Roman"/>
                <w:b w:val="false"/>
                <w:i w:val="false"/>
                <w:color w:val="000000"/>
                <w:sz w:val="20"/>
              </w:rPr>
              <w:t>
до ІІ-декады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5"/>
          <w:p>
            <w:pPr>
              <w:spacing w:after="20"/>
              <w:ind w:left="20"/>
              <w:jc w:val="both"/>
            </w:pPr>
            <w:r>
              <w:rPr>
                <w:rFonts w:ascii="Times New Roman"/>
                <w:b w:val="false"/>
                <w:i w:val="false"/>
                <w:color w:val="000000"/>
                <w:sz w:val="20"/>
              </w:rPr>
              <w:t>
 от ІІ декады октября</w:t>
            </w:r>
          </w:p>
          <w:bookmarkEnd w:id="95"/>
          <w:p>
            <w:pPr>
              <w:spacing w:after="20"/>
              <w:ind w:left="20"/>
              <w:jc w:val="both"/>
            </w:pPr>
            <w:r>
              <w:rPr>
                <w:rFonts w:ascii="Times New Roman"/>
                <w:b w:val="false"/>
                <w:i w:val="false"/>
                <w:color w:val="000000"/>
                <w:sz w:val="20"/>
              </w:rPr>
              <w:t>
до ІІІ-декады ноября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ІІ декады ноября до ІІ-декады марта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