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38e27" w14:textId="f638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Киндиктинскому сельскому округа на 2024-2025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Аксуат области Абай от 24 апреля 2024 года № 15/6-VIII. Утратило силу решением маслихата района Аксуат области Абай от 15 апреля 2025 года № 27/3-VIII</w:t>
      </w:r>
    </w:p>
    <w:p>
      <w:pPr>
        <w:spacing w:after="0"/>
        <w:ind w:left="0"/>
        <w:jc w:val="both"/>
      </w:pPr>
      <w:r>
        <w:rPr>
          <w:rFonts w:ascii="Times New Roman"/>
          <w:b w:val="false"/>
          <w:i w:val="false"/>
          <w:color w:val="ff0000"/>
          <w:sz w:val="28"/>
        </w:rPr>
        <w:t xml:space="preserve">
      Сноска. Утратило силу решением маслихата района Аксуат области Абай от 15.04.2025 </w:t>
      </w:r>
      <w:r>
        <w:rPr>
          <w:rFonts w:ascii="Times New Roman"/>
          <w:b w:val="false"/>
          <w:i w:val="false"/>
          <w:color w:val="ff0000"/>
          <w:sz w:val="28"/>
        </w:rPr>
        <w:t>№ 27/3-VIII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маслихат района Аксуат РЕШИЛ:</w:t>
      </w:r>
    </w:p>
    <w:bookmarkEnd w:id="0"/>
    <w:bookmarkStart w:name="z6"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Киндиктинскому сельскому округу на 2024-2025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Аксуат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Аксуат</w:t>
            </w:r>
            <w:r>
              <w:br/>
            </w:r>
            <w:r>
              <w:rPr>
                <w:rFonts w:ascii="Times New Roman"/>
                <w:b w:val="false"/>
                <w:i w:val="false"/>
                <w:color w:val="000000"/>
                <w:sz w:val="20"/>
              </w:rPr>
              <w:t>от 24 апреля 2024 года</w:t>
            </w:r>
            <w:r>
              <w:br/>
            </w:r>
            <w:r>
              <w:rPr>
                <w:rFonts w:ascii="Times New Roman"/>
                <w:b w:val="false"/>
                <w:i w:val="false"/>
                <w:color w:val="000000"/>
                <w:sz w:val="20"/>
              </w:rPr>
              <w:t>№15/6-VIII</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Киндиктинскому сельскому округу на 2024-2025 годы</w:t>
      </w:r>
    </w:p>
    <w:bookmarkEnd w:id="3"/>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по Киндиктинскому сельскому округу на 2024-2025 годы (далее-План) разработан в соответствий с Законами Республики Казахстан "</w:t>
      </w:r>
      <w:r>
        <w:rPr>
          <w:rFonts w:ascii="Times New Roman"/>
          <w:b w:val="false"/>
          <w:i w:val="false"/>
          <w:color w:val="000000"/>
          <w:sz w:val="28"/>
        </w:rPr>
        <w:t>О пастбищах</w:t>
      </w:r>
      <w:r>
        <w:rPr>
          <w:rFonts w:ascii="Times New Roman"/>
          <w:b w:val="false"/>
          <w:i w:val="false"/>
          <w:color w:val="000000"/>
          <w:sz w:val="28"/>
        </w:rPr>
        <w:t>", "</w:t>
      </w:r>
      <w:r>
        <w:rPr>
          <w:rFonts w:ascii="Times New Roman"/>
          <w:b w:val="false"/>
          <w:i w:val="false"/>
          <w:color w:val="000000"/>
          <w:sz w:val="28"/>
        </w:rPr>
        <w:t>О местном государственном управлений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Министерстве Юстиции Республики Казахстан 28 апреля 2017 года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аперля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3" w:id="6"/>
    <w:p>
      <w:pPr>
        <w:spacing w:after="0"/>
        <w:ind w:left="0"/>
        <w:jc w:val="both"/>
      </w:pPr>
      <w:r>
        <w:rPr>
          <w:rFonts w:ascii="Times New Roman"/>
          <w:b w:val="false"/>
          <w:i w:val="false"/>
          <w:color w:val="000000"/>
          <w:sz w:val="28"/>
        </w:rPr>
        <w:t>
      План принят с учетом сведений о состояний геоботанического обследования пастбищ, сведения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сведения о формирований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сведения о сервитутах для прогона скота и иных данных, предоставленных государственными органами, физическими и юридическими лицами.</w:t>
      </w:r>
    </w:p>
    <w:bookmarkEnd w:id="6"/>
    <w:bookmarkStart w:name="z14" w:id="7"/>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bookmarkEnd w:id="7"/>
    <w:bookmarkStart w:name="z15" w:id="8"/>
    <w:p>
      <w:pPr>
        <w:spacing w:after="0"/>
        <w:ind w:left="0"/>
        <w:jc w:val="both"/>
      </w:pPr>
      <w:r>
        <w:rPr>
          <w:rFonts w:ascii="Times New Roman"/>
          <w:b w:val="false"/>
          <w:i w:val="false"/>
          <w:color w:val="000000"/>
          <w:sz w:val="28"/>
        </w:rPr>
        <w:t>
      Содержание плана:</w:t>
      </w:r>
    </w:p>
    <w:bookmarkEnd w:id="8"/>
    <w:bookmarkStart w:name="z16" w:id="9"/>
    <w:p>
      <w:pPr>
        <w:spacing w:after="0"/>
        <w:ind w:left="0"/>
        <w:jc w:val="both"/>
      </w:pPr>
      <w:r>
        <w:rPr>
          <w:rFonts w:ascii="Times New Roman"/>
          <w:b w:val="false"/>
          <w:i w:val="false"/>
          <w:color w:val="000000"/>
          <w:sz w:val="28"/>
        </w:rPr>
        <w:t xml:space="preserve">
      1) Схема (карта) расположения пастбищ на территории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9"/>
    <w:bookmarkStart w:name="z17" w:id="10"/>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10"/>
    <w:bookmarkStart w:name="z18" w:id="11"/>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11"/>
    <w:bookmarkStart w:name="z19" w:id="12"/>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копаниям, оросительным и обводнительным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2"/>
    <w:bookmarkStart w:name="z20" w:id="13"/>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не имеющих пастбищ, и перевода их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3"/>
    <w:bookmarkStart w:name="z21" w:id="14"/>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4"/>
    <w:bookmarkStart w:name="z22" w:id="15"/>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5"/>
    <w:bookmarkStart w:name="z23" w:id="16"/>
    <w:p>
      <w:pPr>
        <w:spacing w:after="0"/>
        <w:ind w:left="0"/>
        <w:jc w:val="both"/>
      </w:pPr>
      <w:r>
        <w:rPr>
          <w:rFonts w:ascii="Times New Roman"/>
          <w:b w:val="false"/>
          <w:i w:val="false"/>
          <w:color w:val="000000"/>
          <w:sz w:val="28"/>
        </w:rPr>
        <w:t>
      Общая площадь территорий - 203000 га, из них пастбищные земли - 157800 га, сенокосные земли - 8000 гектар.</w:t>
      </w:r>
    </w:p>
    <w:bookmarkEnd w:id="16"/>
    <w:bookmarkStart w:name="z24"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5" w:id="18"/>
    <w:p>
      <w:pPr>
        <w:spacing w:after="0"/>
        <w:ind w:left="0"/>
        <w:jc w:val="both"/>
      </w:pPr>
      <w:r>
        <w:rPr>
          <w:rFonts w:ascii="Times New Roman"/>
          <w:b w:val="false"/>
          <w:i w:val="false"/>
          <w:color w:val="000000"/>
          <w:sz w:val="28"/>
        </w:rPr>
        <w:t>
      Земли сельскохозяйственного назначения –165800га;</w:t>
      </w:r>
    </w:p>
    <w:bookmarkEnd w:id="18"/>
    <w:bookmarkStart w:name="z26" w:id="19"/>
    <w:p>
      <w:pPr>
        <w:spacing w:after="0"/>
        <w:ind w:left="0"/>
        <w:jc w:val="both"/>
      </w:pPr>
      <w:r>
        <w:rPr>
          <w:rFonts w:ascii="Times New Roman"/>
          <w:b w:val="false"/>
          <w:i w:val="false"/>
          <w:color w:val="000000"/>
          <w:sz w:val="28"/>
        </w:rPr>
        <w:t>
      Земли населенных пунктов – 11364,1351 га;</w:t>
      </w:r>
    </w:p>
    <w:bookmarkEnd w:id="19"/>
    <w:bookmarkStart w:name="z27" w:id="20"/>
    <w:p>
      <w:pPr>
        <w:spacing w:after="0"/>
        <w:ind w:left="0"/>
        <w:jc w:val="both"/>
      </w:pPr>
      <w:r>
        <w:rPr>
          <w:rFonts w:ascii="Times New Roman"/>
          <w:b w:val="false"/>
          <w:i w:val="false"/>
          <w:color w:val="000000"/>
          <w:sz w:val="28"/>
        </w:rPr>
        <w:t>
      В сельском округе действуют 1ветеринарный пункт, 2 убойных площадок, 1 скотомогильников.</w:t>
      </w:r>
    </w:p>
    <w:bookmarkEnd w:id="20"/>
    <w:bookmarkStart w:name="z28" w:id="21"/>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bookmarkEnd w:id="21"/>
    <w:bookmarkStart w:name="z29" w:id="22"/>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bookmarkEnd w:id="22"/>
    <w:bookmarkStart w:name="z30" w:id="23"/>
    <w:p>
      <w:pPr>
        <w:spacing w:after="0"/>
        <w:ind w:left="0"/>
        <w:jc w:val="both"/>
      </w:pPr>
      <w:r>
        <w:rPr>
          <w:rFonts w:ascii="Times New Roman"/>
          <w:b w:val="false"/>
          <w:i w:val="false"/>
          <w:color w:val="000000"/>
          <w:sz w:val="28"/>
        </w:rPr>
        <w:t>
      Киндиктинский сельский округ расположен в центральной части Тарбагатайского района, его площадь 203,0 тысяч га, что составляет 8,55 % от площади района.</w:t>
      </w:r>
    </w:p>
    <w:bookmarkEnd w:id="23"/>
    <w:bookmarkStart w:name="z31" w:id="24"/>
    <w:p>
      <w:pPr>
        <w:spacing w:after="0"/>
        <w:ind w:left="0"/>
        <w:jc w:val="both"/>
      </w:pPr>
      <w:r>
        <w:rPr>
          <w:rFonts w:ascii="Times New Roman"/>
          <w:b w:val="false"/>
          <w:i w:val="false"/>
          <w:color w:val="000000"/>
          <w:sz w:val="28"/>
        </w:rPr>
        <w:t>
      На севере и западе сельский округ граничит с землями Кокпектинского района, на западе граничит с землями Аягозского района, на юге граничит с землями Кызыл-Кесекского сельского округа, на востоке с землями Иргизбайского сельских округов.</w:t>
      </w:r>
    </w:p>
    <w:bookmarkEnd w:id="24"/>
    <w:bookmarkStart w:name="z32" w:id="25"/>
    <w:p>
      <w:pPr>
        <w:spacing w:after="0"/>
        <w:ind w:left="0"/>
        <w:jc w:val="both"/>
      </w:pPr>
      <w:r>
        <w:rPr>
          <w:rFonts w:ascii="Times New Roman"/>
          <w:b w:val="false"/>
          <w:i w:val="false"/>
          <w:color w:val="000000"/>
          <w:sz w:val="28"/>
        </w:rPr>
        <w:t>
      Центром сельского округа является село Киндикты расположенное в 117 км от районного центра с.Аксуат.</w:t>
      </w:r>
    </w:p>
    <w:bookmarkEnd w:id="25"/>
    <w:bookmarkStart w:name="z33" w:id="26"/>
    <w:p>
      <w:pPr>
        <w:spacing w:after="0"/>
        <w:ind w:left="0"/>
        <w:jc w:val="both"/>
      </w:pPr>
      <w:r>
        <w:rPr>
          <w:rFonts w:ascii="Times New Roman"/>
          <w:b w:val="false"/>
          <w:i w:val="false"/>
          <w:color w:val="000000"/>
          <w:sz w:val="28"/>
        </w:rPr>
        <w:t>
      Согласно административно-территориальному делению на территория сельского округа расположено 2 сельских населенных пункта: - с.Киндикты, с.Алгабас.</w:t>
      </w:r>
    </w:p>
    <w:bookmarkEnd w:id="26"/>
    <w:bookmarkStart w:name="z34" w:id="27"/>
    <w:p>
      <w:pPr>
        <w:spacing w:after="0"/>
        <w:ind w:left="0"/>
        <w:jc w:val="both"/>
      </w:pPr>
      <w:r>
        <w:rPr>
          <w:rFonts w:ascii="Times New Roman"/>
          <w:b w:val="false"/>
          <w:i w:val="false"/>
          <w:color w:val="000000"/>
          <w:sz w:val="28"/>
        </w:rPr>
        <w:t>
      Транспортная связь с райцентром осуществляется по автодороге областного значения Аксуат – Киндикты.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bookmarkEnd w:id="27"/>
    <w:bookmarkStart w:name="z35" w:id="28"/>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End w:id="28"/>
    <w:bookmarkStart w:name="z36" w:id="29"/>
    <w:p>
      <w:pPr>
        <w:spacing w:after="0"/>
        <w:ind w:left="0"/>
        <w:jc w:val="both"/>
      </w:pPr>
      <w:r>
        <w:rPr>
          <w:rFonts w:ascii="Times New Roman"/>
          <w:b w:val="false"/>
          <w:i w:val="false"/>
          <w:color w:val="000000"/>
          <w:sz w:val="28"/>
        </w:rPr>
        <w:t>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дерненных злаков и пустынных ксероморфных кустарничков. Сомкнутость растительности не превышает 30-40%, ее высота до 30-40см. Урожайность сухой растительной массы 3- 4 ц/га.</w:t>
      </w:r>
    </w:p>
    <w:bookmarkEnd w:id="29"/>
    <w:bookmarkStart w:name="z37" w:id="30"/>
    <w:p>
      <w:pPr>
        <w:spacing w:after="0"/>
        <w:ind w:left="0"/>
        <w:jc w:val="both"/>
      </w:pPr>
      <w:r>
        <w:rPr>
          <w:rFonts w:ascii="Times New Roman"/>
          <w:b w:val="false"/>
          <w:i w:val="false"/>
          <w:color w:val="000000"/>
          <w:sz w:val="28"/>
        </w:rPr>
        <w:t>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 ее высота до 10-30 см. Урожайность сухой растительной массы 1- 4 ц/га.</w:t>
      </w:r>
    </w:p>
    <w:bookmarkEnd w:id="30"/>
    <w:bookmarkStart w:name="z38" w:id="31"/>
    <w:p>
      <w:pPr>
        <w:spacing w:after="0"/>
        <w:ind w:left="0"/>
        <w:jc w:val="left"/>
      </w:pPr>
      <w:r>
        <w:rPr>
          <w:rFonts w:ascii="Times New Roman"/>
          <w:b/>
          <w:i w:val="false"/>
          <w:color w:val="000000"/>
        </w:rPr>
        <w:t xml:space="preserve"> ОРГАНИЗАЦИЯ ТЕРРИТОРИИ ПАСТБИЩ.</w:t>
      </w:r>
    </w:p>
    <w:bookmarkEnd w:id="31"/>
    <w:bookmarkStart w:name="z39" w:id="32"/>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bookmarkEnd w:id="32"/>
    <w:bookmarkStart w:name="z40" w:id="33"/>
    <w:p>
      <w:pPr>
        <w:spacing w:after="0"/>
        <w:ind w:left="0"/>
        <w:jc w:val="both"/>
      </w:pPr>
      <w:r>
        <w:rPr>
          <w:rFonts w:ascii="Times New Roman"/>
          <w:b w:val="false"/>
          <w:i w:val="false"/>
          <w:color w:val="000000"/>
          <w:sz w:val="28"/>
        </w:rPr>
        <w:t>
      Основой рационального использования естественных пастбищ является пастбищеоборот.</w:t>
      </w:r>
    </w:p>
    <w:bookmarkEnd w:id="33"/>
    <w:bookmarkStart w:name="z41" w:id="34"/>
    <w:p>
      <w:pPr>
        <w:spacing w:after="0"/>
        <w:ind w:left="0"/>
        <w:jc w:val="both"/>
      </w:pPr>
      <w:r>
        <w:rPr>
          <w:rFonts w:ascii="Times New Roman"/>
          <w:b w:val="false"/>
          <w:i w:val="false"/>
          <w:color w:val="000000"/>
          <w:sz w:val="28"/>
        </w:rPr>
        <w:t>
      Пастбищоборот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bookmarkEnd w:id="34"/>
    <w:bookmarkStart w:name="z42" w:id="35"/>
    <w:p>
      <w:pPr>
        <w:spacing w:after="0"/>
        <w:ind w:left="0"/>
        <w:jc w:val="both"/>
      </w:pPr>
      <w:r>
        <w:rPr>
          <w:rFonts w:ascii="Times New Roman"/>
          <w:b w:val="false"/>
          <w:i w:val="false"/>
          <w:color w:val="000000"/>
          <w:sz w:val="28"/>
        </w:rPr>
        <w:t>
      Использование пастбищ в системе пастбищ еоборотов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bookmarkEnd w:id="35"/>
    <w:bookmarkStart w:name="z43" w:id="36"/>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bookmarkEnd w:id="36"/>
    <w:bookmarkStart w:name="z44" w:id="37"/>
    <w:p>
      <w:pPr>
        <w:spacing w:after="0"/>
        <w:ind w:left="0"/>
        <w:jc w:val="both"/>
      </w:pPr>
      <w:r>
        <w:rPr>
          <w:rFonts w:ascii="Times New Roman"/>
          <w:b w:val="false"/>
          <w:i w:val="false"/>
          <w:color w:val="000000"/>
          <w:sz w:val="28"/>
        </w:rPr>
        <w:t>
      Площадь пастбищеоборотных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пастбищеоборота составляет от 600 до 1500 га. Использование пастбищ в определенной системе пастбищеоборота является важным условием сохранения ботанического состава травостоя и поддержание его природной урожайности.</w:t>
      </w:r>
    </w:p>
    <w:bookmarkEnd w:id="37"/>
    <w:bookmarkStart w:name="z45" w:id="38"/>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bookmarkEnd w:id="38"/>
    <w:bookmarkStart w:name="z46" w:id="39"/>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bookmarkEnd w:id="39"/>
    <w:bookmarkStart w:name="z47" w:id="40"/>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2,5км, для лошадей – 8км.</w:t>
      </w:r>
    </w:p>
    <w:bookmarkEnd w:id="40"/>
    <w:bookmarkStart w:name="z48" w:id="41"/>
    <w:p>
      <w:pPr>
        <w:spacing w:after="0"/>
        <w:ind w:left="0"/>
        <w:jc w:val="both"/>
      </w:pPr>
      <w:r>
        <w:rPr>
          <w:rFonts w:ascii="Times New Roman"/>
          <w:b w:val="false"/>
          <w:i w:val="false"/>
          <w:color w:val="000000"/>
          <w:sz w:val="28"/>
        </w:rPr>
        <w:t>
      Кроме того, учтено допустимое поголовье животных, обслуживаемое одним водопойным пунктом: - 250 голов КРС или лошадей, - 2000 голов овец.</w:t>
      </w:r>
    </w:p>
    <w:bookmarkEnd w:id="41"/>
    <w:bookmarkStart w:name="z49" w:id="42"/>
    <w:p>
      <w:pPr>
        <w:spacing w:after="0"/>
        <w:ind w:left="0"/>
        <w:jc w:val="both"/>
      </w:pPr>
      <w:r>
        <w:rPr>
          <w:rFonts w:ascii="Times New Roman"/>
          <w:b w:val="false"/>
          <w:i w:val="false"/>
          <w:color w:val="000000"/>
          <w:sz w:val="28"/>
        </w:rPr>
        <w:t>
      На рассматриваемой территории имеются трубчатые и шахтные колодцы за счет которых обводнены зимние пастбища.</w:t>
      </w:r>
    </w:p>
    <w:bookmarkEnd w:id="42"/>
    <w:bookmarkStart w:name="z50" w:id="43"/>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w:t>
      </w:r>
    </w:p>
    <w:bookmarkEnd w:id="43"/>
    <w:bookmarkStart w:name="z51" w:id="44"/>
    <w:p>
      <w:pPr>
        <w:spacing w:after="0"/>
        <w:ind w:left="0"/>
        <w:jc w:val="both"/>
      </w:pPr>
      <w:r>
        <w:rPr>
          <w:rFonts w:ascii="Times New Roman"/>
          <w:b w:val="false"/>
          <w:i w:val="false"/>
          <w:color w:val="000000"/>
          <w:sz w:val="28"/>
        </w:rPr>
        <w:t>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bookmarkEnd w:id="44"/>
    <w:bookmarkStart w:name="z52" w:id="45"/>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bookmarkEnd w:id="45"/>
    <w:bookmarkStart w:name="z53" w:id="46"/>
    <w:p>
      <w:pPr>
        <w:spacing w:after="0"/>
        <w:ind w:left="0"/>
        <w:jc w:val="both"/>
      </w:pPr>
      <w:r>
        <w:rPr>
          <w:rFonts w:ascii="Times New Roman"/>
          <w:b w:val="false"/>
          <w:i w:val="false"/>
          <w:color w:val="000000"/>
          <w:sz w:val="28"/>
        </w:rPr>
        <w:t xml:space="preserve">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973 головы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w:t>
      </w:r>
    </w:p>
    <w:bookmarkEnd w:id="46"/>
    <w:bookmarkStart w:name="z54" w:id="47"/>
    <w:p>
      <w:pPr>
        <w:spacing w:after="0"/>
        <w:ind w:left="0"/>
        <w:jc w:val="both"/>
      </w:pPr>
      <w:r>
        <w:rPr>
          <w:rFonts w:ascii="Times New Roman"/>
          <w:b w:val="false"/>
          <w:i w:val="false"/>
          <w:color w:val="000000"/>
          <w:sz w:val="28"/>
        </w:rPr>
        <w:t xml:space="preserve">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17957 голов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w:t>
      </w:r>
    </w:p>
    <w:bookmarkEnd w:id="47"/>
    <w:bookmarkStart w:name="z55" w:id="48"/>
    <w:p>
      <w:pPr>
        <w:spacing w:after="0"/>
        <w:ind w:left="0"/>
        <w:jc w:val="left"/>
      </w:pPr>
      <w:r>
        <w:rPr>
          <w:rFonts w:ascii="Times New Roman"/>
          <w:b/>
          <w:i w:val="false"/>
          <w:color w:val="000000"/>
        </w:rPr>
        <w:t xml:space="preserve"> Расчет потребности пастбищ для выпаса сельскохозяйственных животных по сельскому округу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пастбищных кормов с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Киндиктинский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5123</w:t>
            </w:r>
          </w:p>
          <w:p>
            <w:pPr>
              <w:spacing w:after="20"/>
              <w:ind w:left="20"/>
              <w:jc w:val="both"/>
            </w:pPr>
            <w:r>
              <w:rPr>
                <w:rFonts w:ascii="Times New Roman"/>
                <w:b w:val="false"/>
                <w:i w:val="false"/>
                <w:color w:val="000000"/>
                <w:sz w:val="20"/>
              </w:rPr>
              <w:t>
</w:t>
            </w:r>
            <w:r>
              <w:rPr>
                <w:rFonts w:ascii="Times New Roman"/>
                <w:b w:val="false"/>
                <w:i w:val="false"/>
                <w:color w:val="000000"/>
                <w:sz w:val="20"/>
              </w:rPr>
              <w:t>17957</w:t>
            </w:r>
          </w:p>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1"/>
          <w:p>
            <w:pPr>
              <w:spacing w:after="20"/>
              <w:ind w:left="20"/>
              <w:jc w:val="both"/>
            </w:pPr>
            <w:r>
              <w:rPr>
                <w:rFonts w:ascii="Times New Roman"/>
                <w:b w:val="false"/>
                <w:i w:val="false"/>
                <w:color w:val="000000"/>
                <w:sz w:val="20"/>
              </w:rPr>
              <w:t>
 </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428275</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204920</w:t>
            </w:r>
          </w:p>
          <w:p>
            <w:pPr>
              <w:spacing w:after="20"/>
              <w:ind w:left="20"/>
              <w:jc w:val="both"/>
            </w:pPr>
            <w:r>
              <w:rPr>
                <w:rFonts w:ascii="Times New Roman"/>
                <w:b w:val="false"/>
                <w:i w:val="false"/>
                <w:color w:val="000000"/>
                <w:sz w:val="20"/>
              </w:rPr>
              <w:t>
</w:t>
            </w:r>
            <w:r>
              <w:rPr>
                <w:rFonts w:ascii="Times New Roman"/>
                <w:b w:val="false"/>
                <w:i w:val="false"/>
                <w:color w:val="000000"/>
                <w:sz w:val="20"/>
              </w:rPr>
              <w:t>179570</w:t>
            </w:r>
          </w:p>
          <w:p>
            <w:pPr>
              <w:spacing w:after="20"/>
              <w:ind w:left="20"/>
              <w:jc w:val="both"/>
            </w:pPr>
            <w:r>
              <w:rPr>
                <w:rFonts w:ascii="Times New Roman"/>
                <w:b w:val="false"/>
                <w:i w:val="false"/>
                <w:color w:val="000000"/>
                <w:sz w:val="20"/>
              </w:rPr>
              <w:t>
43785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28552</w:t>
            </w:r>
          </w:p>
        </w:tc>
      </w:tr>
    </w:tbl>
    <w:bookmarkStart w:name="z68" w:id="53"/>
    <w:p>
      <w:pPr>
        <w:spacing w:after="0"/>
        <w:ind w:left="0"/>
        <w:jc w:val="left"/>
      </w:pPr>
      <w:r>
        <w:rPr>
          <w:rFonts w:ascii="Times New Roman"/>
          <w:b/>
          <w:i w:val="false"/>
          <w:color w:val="000000"/>
        </w:rPr>
        <w:t xml:space="preserve"> Обеспеченность пастбищами скота по сельскому округу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(фактич)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Недостаток –</w:t>
            </w:r>
          </w:p>
          <w:bookmarkEnd w:id="54"/>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Киндиктинский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5123</w:t>
            </w:r>
          </w:p>
          <w:p>
            <w:pPr>
              <w:spacing w:after="20"/>
              <w:ind w:left="20"/>
              <w:jc w:val="both"/>
            </w:pPr>
            <w:r>
              <w:rPr>
                <w:rFonts w:ascii="Times New Roman"/>
                <w:b w:val="false"/>
                <w:i w:val="false"/>
                <w:color w:val="000000"/>
                <w:sz w:val="20"/>
              </w:rPr>
              <w:t>
</w:t>
            </w:r>
            <w:r>
              <w:rPr>
                <w:rFonts w:ascii="Times New Roman"/>
                <w:b w:val="false"/>
                <w:i w:val="false"/>
                <w:color w:val="000000"/>
                <w:sz w:val="20"/>
              </w:rPr>
              <w:t>17957</w:t>
            </w:r>
          </w:p>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7"/>
          <w:p>
            <w:pPr>
              <w:spacing w:after="20"/>
              <w:ind w:left="20"/>
              <w:jc w:val="both"/>
            </w:pPr>
            <w:r>
              <w:rPr>
                <w:rFonts w:ascii="Times New Roman"/>
                <w:b w:val="false"/>
                <w:i w:val="false"/>
                <w:color w:val="000000"/>
                <w:sz w:val="20"/>
              </w:rPr>
              <w:t>
28551</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13661</w:t>
            </w:r>
          </w:p>
          <w:p>
            <w:pPr>
              <w:spacing w:after="20"/>
              <w:ind w:left="20"/>
              <w:jc w:val="both"/>
            </w:pPr>
            <w:r>
              <w:rPr>
                <w:rFonts w:ascii="Times New Roman"/>
                <w:b w:val="false"/>
                <w:i w:val="false"/>
                <w:color w:val="000000"/>
                <w:sz w:val="20"/>
              </w:rPr>
              <w:t>
</w:t>
            </w:r>
            <w:r>
              <w:rPr>
                <w:rFonts w:ascii="Times New Roman"/>
                <w:b w:val="false"/>
                <w:i w:val="false"/>
                <w:color w:val="000000"/>
                <w:sz w:val="20"/>
              </w:rPr>
              <w:t>11971</w:t>
            </w:r>
          </w:p>
          <w:p>
            <w:pPr>
              <w:spacing w:after="20"/>
              <w:ind w:left="20"/>
              <w:jc w:val="both"/>
            </w:pPr>
            <w:r>
              <w:rPr>
                <w:rFonts w:ascii="Times New Roman"/>
                <w:b w:val="false"/>
                <w:i w:val="false"/>
                <w:color w:val="000000"/>
                <w:sz w:val="20"/>
              </w:rPr>
              <w:t>
2919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- 17193,7</w:t>
            </w:r>
          </w:p>
        </w:tc>
      </w:tr>
    </w:tbl>
    <w:bookmarkStart w:name="z78" w:id="58"/>
    <w:p>
      <w:pPr>
        <w:spacing w:after="0"/>
        <w:ind w:left="0"/>
        <w:jc w:val="left"/>
      </w:pPr>
      <w:r>
        <w:rPr>
          <w:rFonts w:ascii="Times New Roman"/>
          <w:b/>
          <w:i w:val="false"/>
          <w:color w:val="000000"/>
        </w:rPr>
        <w:t xml:space="preserve"> Территория с особым режимом использования земель</w:t>
      </w:r>
    </w:p>
    <w:bookmarkEnd w:id="58"/>
    <w:bookmarkStart w:name="z79" w:id="59"/>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bookmarkEnd w:id="59"/>
    <w:bookmarkStart w:name="z80" w:id="60"/>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водоохраной полосы запрещается:</w:t>
      </w:r>
    </w:p>
    <w:bookmarkEnd w:id="60"/>
    <w:bookmarkStart w:name="z81" w:id="61"/>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bookmarkEnd w:id="61"/>
    <w:bookmarkStart w:name="z82" w:id="62"/>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bookmarkEnd w:id="62"/>
    <w:bookmarkStart w:name="z83" w:id="63"/>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bookmarkEnd w:id="63"/>
    <w:bookmarkStart w:name="z84" w:id="64"/>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bookmarkEnd w:id="64"/>
    <w:bookmarkStart w:name="z85" w:id="65"/>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bookmarkEnd w:id="65"/>
    <w:bookmarkStart w:name="z86" w:id="66"/>
    <w:p>
      <w:pPr>
        <w:spacing w:after="0"/>
        <w:ind w:left="0"/>
        <w:jc w:val="both"/>
      </w:pPr>
      <w:r>
        <w:rPr>
          <w:rFonts w:ascii="Times New Roman"/>
          <w:b w:val="false"/>
          <w:i w:val="false"/>
          <w:color w:val="000000"/>
          <w:sz w:val="28"/>
        </w:rPr>
        <w:t>
      - применение всех видов удобрений.</w:t>
      </w:r>
    </w:p>
    <w:bookmarkEnd w:id="66"/>
    <w:bookmarkStart w:name="z87" w:id="67"/>
    <w:p>
      <w:pPr>
        <w:spacing w:after="0"/>
        <w:ind w:left="0"/>
        <w:jc w:val="both"/>
      </w:pPr>
      <w:r>
        <w:rPr>
          <w:rFonts w:ascii="Times New Roman"/>
          <w:b w:val="false"/>
          <w:i w:val="false"/>
          <w:color w:val="000000"/>
          <w:sz w:val="28"/>
        </w:rPr>
        <w:t>
      в пределах водоохранных зон запрещается:</w:t>
      </w:r>
    </w:p>
    <w:bookmarkEnd w:id="67"/>
    <w:bookmarkStart w:name="z88" w:id="68"/>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68"/>
    <w:bookmarkStart w:name="z89" w:id="69"/>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bookmarkEnd w:id="69"/>
    <w:bookmarkStart w:name="z90" w:id="70"/>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70"/>
    <w:bookmarkStart w:name="z91" w:id="71"/>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bookmarkEnd w:id="71"/>
    <w:bookmarkStart w:name="z92" w:id="72"/>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72"/>
    <w:bookmarkStart w:name="z93" w:id="73"/>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73"/>
    <w:bookmarkStart w:name="z94" w:id="74"/>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bookmarkEnd w:id="74"/>
    <w:bookmarkStart w:name="z95" w:id="75"/>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Киндиктинский сельский округ</w:t>
            </w:r>
            <w:r>
              <w:br/>
            </w:r>
            <w:r>
              <w:rPr>
                <w:rFonts w:ascii="Times New Roman"/>
                <w:b w:val="false"/>
                <w:i w:val="false"/>
                <w:color w:val="000000"/>
                <w:sz w:val="20"/>
              </w:rPr>
              <w:t>2024-2025 годы</w:t>
            </w:r>
          </w:p>
        </w:tc>
      </w:tr>
    </w:tbl>
    <w:bookmarkStart w:name="z97" w:id="76"/>
    <w:p>
      <w:pPr>
        <w:spacing w:after="0"/>
        <w:ind w:left="0"/>
        <w:jc w:val="left"/>
      </w:pPr>
      <w:r>
        <w:rPr>
          <w:rFonts w:ascii="Times New Roman"/>
          <w:b/>
          <w:i w:val="false"/>
          <w:color w:val="000000"/>
        </w:rPr>
        <w:t xml:space="preserve"> Схема (карта) расположения пастбищ на территории Киндиктинский сельский округ в разрезе категорий земель, собственников земельных участков и землепользователей на основании правоустанавливающих документов</w:t>
      </w:r>
    </w:p>
    <w:bookmarkEnd w:id="76"/>
    <w:bookmarkStart w:name="z98"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 xml:space="preserve"> использованию</w:t>
            </w:r>
            <w:r>
              <w:br/>
            </w:r>
            <w:r>
              <w:rPr>
                <w:rFonts w:ascii="Times New Roman"/>
                <w:b w:val="false"/>
                <w:i w:val="false"/>
                <w:color w:val="000000"/>
                <w:sz w:val="20"/>
              </w:rPr>
              <w:t>Киндиктинский сельский округ</w:t>
            </w:r>
            <w:r>
              <w:br/>
            </w:r>
            <w:r>
              <w:rPr>
                <w:rFonts w:ascii="Times New Roman"/>
                <w:b w:val="false"/>
                <w:i w:val="false"/>
                <w:color w:val="000000"/>
                <w:sz w:val="20"/>
              </w:rPr>
              <w:t>на 2024-2025 годы</w:t>
            </w:r>
          </w:p>
        </w:tc>
      </w:tr>
    </w:tbl>
    <w:bookmarkStart w:name="z100" w:id="78"/>
    <w:p>
      <w:pPr>
        <w:spacing w:after="0"/>
        <w:ind w:left="0"/>
        <w:jc w:val="left"/>
      </w:pPr>
      <w:r>
        <w:rPr>
          <w:rFonts w:ascii="Times New Roman"/>
          <w:b/>
          <w:i w:val="false"/>
          <w:color w:val="000000"/>
        </w:rPr>
        <w:t xml:space="preserve"> Приемлемые схемы пастбищеоборотов </w:t>
      </w:r>
    </w:p>
    <w:bookmarkEnd w:id="78"/>
    <w:bookmarkStart w:name="z101"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Киндиктинский сельский округ</w:t>
            </w:r>
            <w:r>
              <w:br/>
            </w:r>
            <w:r>
              <w:rPr>
                <w:rFonts w:ascii="Times New Roman"/>
                <w:b w:val="false"/>
                <w:i w:val="false"/>
                <w:color w:val="000000"/>
                <w:sz w:val="20"/>
              </w:rPr>
              <w:t>на 2024-2025 годы</w:t>
            </w:r>
          </w:p>
        </w:tc>
      </w:tr>
    </w:tbl>
    <w:bookmarkStart w:name="z103" w:id="8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80"/>
    <w:bookmarkStart w:name="z104"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Киндиктинский сельский округ</w:t>
            </w:r>
            <w:r>
              <w:br/>
            </w:r>
            <w:r>
              <w:rPr>
                <w:rFonts w:ascii="Times New Roman"/>
                <w:b w:val="false"/>
                <w:i w:val="false"/>
                <w:color w:val="000000"/>
                <w:sz w:val="20"/>
              </w:rPr>
              <w:t>на 2024-2025 годы</w:t>
            </w:r>
          </w:p>
        </w:tc>
      </w:tr>
    </w:tbl>
    <w:bookmarkStart w:name="z106" w:id="8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82"/>
    <w:bookmarkStart w:name="z107"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Киндиктинский сельский округ</w:t>
            </w:r>
            <w:r>
              <w:br/>
            </w:r>
            <w:r>
              <w:rPr>
                <w:rFonts w:ascii="Times New Roman"/>
                <w:b w:val="false"/>
                <w:i w:val="false"/>
                <w:color w:val="000000"/>
                <w:sz w:val="20"/>
              </w:rPr>
              <w:t>на 2024-2025 годы</w:t>
            </w:r>
          </w:p>
        </w:tc>
      </w:tr>
    </w:tbl>
    <w:bookmarkStart w:name="z109" w:id="8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84"/>
    <w:bookmarkStart w:name="z110"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Киндиктинский сельский округ</w:t>
            </w:r>
            <w:r>
              <w:br/>
            </w:r>
            <w:r>
              <w:rPr>
                <w:rFonts w:ascii="Times New Roman"/>
                <w:b w:val="false"/>
                <w:i w:val="false"/>
                <w:color w:val="000000"/>
                <w:sz w:val="20"/>
              </w:rPr>
              <w:t>на 2024-2025 годы</w:t>
            </w:r>
          </w:p>
        </w:tc>
      </w:tr>
    </w:tbl>
    <w:bookmarkStart w:name="z112" w:id="8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селе, сельском округе</w:t>
      </w:r>
    </w:p>
    <w:bookmarkEnd w:id="86"/>
    <w:bookmarkStart w:name="z113"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Киндиктинский сельский</w:t>
            </w:r>
            <w:r>
              <w:br/>
            </w:r>
            <w:r>
              <w:rPr>
                <w:rFonts w:ascii="Times New Roman"/>
                <w:b w:val="false"/>
                <w:i w:val="false"/>
                <w:color w:val="000000"/>
                <w:sz w:val="20"/>
              </w:rPr>
              <w:t>округ</w:t>
            </w:r>
            <w:r>
              <w:br/>
            </w:r>
            <w:r>
              <w:rPr>
                <w:rFonts w:ascii="Times New Roman"/>
                <w:b w:val="false"/>
                <w:i w:val="false"/>
                <w:color w:val="000000"/>
                <w:sz w:val="20"/>
              </w:rPr>
              <w:t>на 2024-2025 годы</w:t>
            </w:r>
          </w:p>
        </w:tc>
      </w:tr>
    </w:tbl>
    <w:bookmarkStart w:name="z115" w:id="88"/>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8"/>
    <w:bookmarkStart w:name="z116"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