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a20f" w14:textId="ab6a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Екпинскому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15/5-VIII.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от 20 февраля 2017 года,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Екпинскому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№15/5-VIII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Екпинскому сельскому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Екпинскому сельскому округу на 2022-2023 годы (далее 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 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 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Екпинского сельского округа 129 690 га, из них пастбищные земли 99 859 га, орошаемые земли – 3132 га, сенокосные земли – 8009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111 000 га;</w:t>
      </w:r>
    </w:p>
    <w:bookmarkEnd w:id="18"/>
    <w:bookmarkStart w:name="z26" w:id="19"/>
    <w:p>
      <w:pPr>
        <w:spacing w:after="0"/>
        <w:ind w:left="0"/>
        <w:jc w:val="both"/>
      </w:pPr>
      <w:r>
        <w:rPr>
          <w:rFonts w:ascii="Times New Roman"/>
          <w:b w:val="false"/>
          <w:i w:val="false"/>
          <w:color w:val="000000"/>
          <w:sz w:val="28"/>
        </w:rPr>
        <w:t>
      Земли населенных пунктов – 10313,5га;</w:t>
      </w:r>
    </w:p>
    <w:bookmarkEnd w:id="19"/>
    <w:bookmarkStart w:name="z27" w:id="20"/>
    <w:p>
      <w:pPr>
        <w:spacing w:after="0"/>
        <w:ind w:left="0"/>
        <w:jc w:val="both"/>
      </w:pPr>
      <w:r>
        <w:rPr>
          <w:rFonts w:ascii="Times New Roman"/>
          <w:b w:val="false"/>
          <w:i w:val="false"/>
          <w:color w:val="000000"/>
          <w:sz w:val="28"/>
        </w:rPr>
        <w:t>
      В сельском округе действуют 1 ветеринарных пунктов, 1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Екпинский сельский округ расположен в центральной части Тарбагатайского района, его площадь 129,69 тысяч га, что составляет 5,5% от площади района.</w:t>
      </w:r>
    </w:p>
    <w:bookmarkEnd w:id="23"/>
    <w:bookmarkStart w:name="z31" w:id="24"/>
    <w:p>
      <w:pPr>
        <w:spacing w:after="0"/>
        <w:ind w:left="0"/>
        <w:jc w:val="both"/>
      </w:pPr>
      <w:r>
        <w:rPr>
          <w:rFonts w:ascii="Times New Roman"/>
          <w:b w:val="false"/>
          <w:i w:val="false"/>
          <w:color w:val="000000"/>
          <w:sz w:val="28"/>
        </w:rPr>
        <w:t>
      На севере и западе сельский округ граничит с землями Сатпаевского сельского округа, на востоке с землями Аксуатского и Кумгольского сельских округов.</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Екпин расположенное в 5км от районного центра с.Аксуат.</w:t>
      </w:r>
    </w:p>
    <w:bookmarkEnd w:id="25"/>
    <w:bookmarkStart w:name="z33" w:id="26"/>
    <w:p>
      <w:pPr>
        <w:spacing w:after="0"/>
        <w:ind w:left="0"/>
        <w:jc w:val="both"/>
      </w:pPr>
      <w:r>
        <w:rPr>
          <w:rFonts w:ascii="Times New Roman"/>
          <w:b w:val="false"/>
          <w:i w:val="false"/>
          <w:color w:val="000000"/>
          <w:sz w:val="28"/>
        </w:rPr>
        <w:t>
      Транспортная связь с райцентром осуществляется по автодороге областного значения Аксуат – Екпин.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6"/>
    <w:bookmarkStart w:name="z34" w:id="27"/>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3253 головы крупного рогатого скота, 409голов лошадей и 5934 головы овец и коз.</w:t>
      </w:r>
    </w:p>
    <w:bookmarkEnd w:id="27"/>
    <w:bookmarkStart w:name="z35" w:id="28"/>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8"/>
    <w:bookmarkStart w:name="z36" w:id="29"/>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29"/>
    <w:bookmarkStart w:name="z37" w:id="30"/>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ее высота до 10-30см. Урожайность сухой растительной массы 1- 4ц/га.</w:t>
      </w:r>
    </w:p>
    <w:bookmarkEnd w:id="30"/>
    <w:bookmarkStart w:name="z38" w:id="31"/>
    <w:p>
      <w:pPr>
        <w:spacing w:after="0"/>
        <w:ind w:left="0"/>
        <w:jc w:val="left"/>
      </w:pPr>
      <w:r>
        <w:rPr>
          <w:rFonts w:ascii="Times New Roman"/>
          <w:b/>
          <w:i w:val="false"/>
          <w:color w:val="000000"/>
        </w:rPr>
        <w:t xml:space="preserve"> ОРГАНИЗАЦИЯ ТЕРРИТОРИИ ПАСТБИЩ</w:t>
      </w:r>
    </w:p>
    <w:bookmarkEnd w:id="31"/>
    <w:bookmarkStart w:name="z39" w:id="32"/>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2"/>
    <w:bookmarkStart w:name="z40" w:id="33"/>
    <w:p>
      <w:pPr>
        <w:spacing w:after="0"/>
        <w:ind w:left="0"/>
        <w:jc w:val="both"/>
      </w:pPr>
      <w:r>
        <w:rPr>
          <w:rFonts w:ascii="Times New Roman"/>
          <w:b w:val="false"/>
          <w:i w:val="false"/>
          <w:color w:val="000000"/>
          <w:sz w:val="28"/>
        </w:rPr>
        <w:t>
      Основой рационального использования естественных пастбищ является пастбищеоборот.</w:t>
      </w:r>
    </w:p>
    <w:bookmarkEnd w:id="33"/>
    <w:bookmarkStart w:name="z41" w:id="34"/>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4"/>
    <w:bookmarkStart w:name="z42" w:id="35"/>
    <w:p>
      <w:pPr>
        <w:spacing w:after="0"/>
        <w:ind w:left="0"/>
        <w:jc w:val="both"/>
      </w:pPr>
      <w:r>
        <w:rPr>
          <w:rFonts w:ascii="Times New Roman"/>
          <w:b w:val="false"/>
          <w:i w:val="false"/>
          <w:color w:val="000000"/>
          <w:sz w:val="28"/>
        </w:rPr>
        <w:t>
      Использование пастбищ в системе пастбище 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5"/>
    <w:bookmarkStart w:name="z43" w:id="36"/>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6"/>
    <w:bookmarkStart w:name="z44" w:id="37"/>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 оборота составляет от 600 до 1500га. Использование пастбищ в определенной системе пастбище оборота является важным условием сохранения ботанического состава травостоя и поддержание его природной урожайности.</w:t>
      </w:r>
    </w:p>
    <w:bookmarkEnd w:id="37"/>
    <w:bookmarkStart w:name="z45" w:id="38"/>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8"/>
    <w:bookmarkStart w:name="z46" w:id="39"/>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39"/>
    <w:bookmarkStart w:name="z47" w:id="40"/>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2,5км, для лошадей – 8км.</w:t>
      </w:r>
    </w:p>
    <w:bookmarkEnd w:id="40"/>
    <w:bookmarkStart w:name="z48" w:id="41"/>
    <w:p>
      <w:pPr>
        <w:spacing w:after="0"/>
        <w:ind w:left="0"/>
        <w:jc w:val="both"/>
      </w:pPr>
      <w:r>
        <w:rPr>
          <w:rFonts w:ascii="Times New Roman"/>
          <w:b w:val="false"/>
          <w:i w:val="false"/>
          <w:color w:val="000000"/>
          <w:sz w:val="28"/>
        </w:rPr>
        <w:t xml:space="preserve">
      Кроме того, учтено допустимое поголовье животных, обслуживаемое одним водопойным пунктом: - 250 голов КРС или лошадей, - 2000 голов овец. </w:t>
      </w:r>
    </w:p>
    <w:bookmarkEnd w:id="41"/>
    <w:bookmarkStart w:name="z49" w:id="42"/>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2"/>
    <w:bookmarkStart w:name="z50" w:id="43"/>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3"/>
    <w:bookmarkStart w:name="z51" w:id="44"/>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4"/>
    <w:bookmarkStart w:name="z52" w:id="45"/>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409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5"/>
    <w:bookmarkStart w:name="z53" w:id="46"/>
    <w:p>
      <w:pPr>
        <w:spacing w:after="0"/>
        <w:ind w:left="0"/>
        <w:jc w:val="both"/>
      </w:pPr>
      <w:r>
        <w:rPr>
          <w:rFonts w:ascii="Times New Roman"/>
          <w:b w:val="false"/>
          <w:i w:val="false"/>
          <w:color w:val="000000"/>
          <w:sz w:val="28"/>
        </w:rPr>
        <w:t>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5934 головы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w:t>
      </w:r>
    </w:p>
    <w:bookmarkEnd w:id="46"/>
    <w:bookmarkStart w:name="z54" w:id="47"/>
    <w:p>
      <w:pPr>
        <w:spacing w:after="0"/>
        <w:ind w:left="0"/>
        <w:jc w:val="left"/>
      </w:pPr>
      <w:r>
        <w:rPr>
          <w:rFonts w:ascii="Times New Roman"/>
          <w:b/>
          <w:i w:val="false"/>
          <w:color w:val="000000"/>
        </w:rPr>
        <w:t xml:space="preserve"> Обеспеченность пастбищами скота по сельскому округу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Недостаток –</w:t>
            </w:r>
          </w:p>
          <w:bookmarkEnd w:id="48"/>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Екпинскии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3253</w:t>
            </w:r>
          </w:p>
          <w:p>
            <w:pPr>
              <w:spacing w:after="20"/>
              <w:ind w:left="20"/>
              <w:jc w:val="both"/>
            </w:pPr>
            <w:r>
              <w:rPr>
                <w:rFonts w:ascii="Times New Roman"/>
                <w:b w:val="false"/>
                <w:i w:val="false"/>
                <w:color w:val="000000"/>
                <w:sz w:val="20"/>
              </w:rPr>
              <w:t>
</w:t>
            </w:r>
            <w:r>
              <w:rPr>
                <w:rFonts w:ascii="Times New Roman"/>
                <w:b w:val="false"/>
                <w:i w:val="false"/>
                <w:color w:val="000000"/>
                <w:sz w:val="20"/>
              </w:rPr>
              <w:t>5934</w:t>
            </w:r>
          </w:p>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20786,5</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13012</w:t>
            </w:r>
          </w:p>
          <w:p>
            <w:pPr>
              <w:spacing w:after="20"/>
              <w:ind w:left="20"/>
              <w:jc w:val="both"/>
            </w:pPr>
            <w:r>
              <w:rPr>
                <w:rFonts w:ascii="Times New Roman"/>
                <w:b w:val="false"/>
                <w:i w:val="false"/>
                <w:color w:val="000000"/>
                <w:sz w:val="20"/>
              </w:rPr>
              <w:t>
</w:t>
            </w:r>
            <w:r>
              <w:rPr>
                <w:rFonts w:ascii="Times New Roman"/>
                <w:b w:val="false"/>
                <w:i w:val="false"/>
                <w:color w:val="000000"/>
                <w:sz w:val="20"/>
              </w:rPr>
              <w:t>5934</w:t>
            </w:r>
          </w:p>
          <w:p>
            <w:pPr>
              <w:spacing w:after="20"/>
              <w:ind w:left="20"/>
              <w:jc w:val="both"/>
            </w:pPr>
            <w:r>
              <w:rPr>
                <w:rFonts w:ascii="Times New Roman"/>
                <w:b w:val="false"/>
                <w:i w:val="false"/>
                <w:color w:val="000000"/>
                <w:sz w:val="20"/>
              </w:rPr>
              <w:t>
1840,5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- 10473</w:t>
            </w:r>
          </w:p>
        </w:tc>
      </w:tr>
    </w:tbl>
    <w:bookmarkStart w:name="z65" w:id="52"/>
    <w:p>
      <w:pPr>
        <w:spacing w:after="0"/>
        <w:ind w:left="0"/>
        <w:jc w:val="left"/>
      </w:pPr>
      <w:r>
        <w:rPr>
          <w:rFonts w:ascii="Times New Roman"/>
          <w:b/>
          <w:i w:val="false"/>
          <w:color w:val="000000"/>
        </w:rPr>
        <w:t xml:space="preserve"> Территория с особым режимом использования земель</w:t>
      </w:r>
    </w:p>
    <w:bookmarkEnd w:id="52"/>
    <w:bookmarkStart w:name="z66" w:id="53"/>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3"/>
    <w:bookmarkStart w:name="z67" w:id="54"/>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54"/>
    <w:bookmarkStart w:name="z68" w:id="55"/>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55"/>
    <w:bookmarkStart w:name="z69" w:id="56"/>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56"/>
    <w:bookmarkStart w:name="z70" w:id="57"/>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57"/>
    <w:bookmarkStart w:name="z71" w:id="58"/>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58"/>
    <w:bookmarkStart w:name="z72" w:id="59"/>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59"/>
    <w:bookmarkStart w:name="z73" w:id="60"/>
    <w:p>
      <w:pPr>
        <w:spacing w:after="0"/>
        <w:ind w:left="0"/>
        <w:jc w:val="both"/>
      </w:pPr>
      <w:r>
        <w:rPr>
          <w:rFonts w:ascii="Times New Roman"/>
          <w:b w:val="false"/>
          <w:i w:val="false"/>
          <w:color w:val="000000"/>
          <w:sz w:val="28"/>
        </w:rPr>
        <w:t>
      - применение всех видов удобрений.</w:t>
      </w:r>
    </w:p>
    <w:bookmarkEnd w:id="60"/>
    <w:bookmarkStart w:name="z74" w:id="61"/>
    <w:p>
      <w:pPr>
        <w:spacing w:after="0"/>
        <w:ind w:left="0"/>
        <w:jc w:val="both"/>
      </w:pPr>
      <w:r>
        <w:rPr>
          <w:rFonts w:ascii="Times New Roman"/>
          <w:b w:val="false"/>
          <w:i w:val="false"/>
          <w:color w:val="000000"/>
          <w:sz w:val="28"/>
        </w:rPr>
        <w:t>
      в пределах водоохранных зон запрещается:</w:t>
      </w:r>
    </w:p>
    <w:bookmarkEnd w:id="61"/>
    <w:bookmarkStart w:name="z75" w:id="62"/>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2"/>
    <w:bookmarkStart w:name="z76" w:id="63"/>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3"/>
    <w:bookmarkStart w:name="z77" w:id="64"/>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64"/>
    <w:bookmarkStart w:name="z78" w:id="65"/>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65"/>
    <w:bookmarkStart w:name="z79" w:id="66"/>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66"/>
    <w:bookmarkStart w:name="z80" w:id="67"/>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67"/>
    <w:bookmarkStart w:name="z81" w:id="68"/>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68"/>
    <w:bookmarkStart w:name="z82" w:id="69"/>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84" w:id="70"/>
    <w:p>
      <w:pPr>
        <w:spacing w:after="0"/>
        <w:ind w:left="0"/>
        <w:jc w:val="left"/>
      </w:pPr>
      <w:r>
        <w:rPr>
          <w:rFonts w:ascii="Times New Roman"/>
          <w:b/>
          <w:i w:val="false"/>
          <w:color w:val="000000"/>
        </w:rPr>
        <w:t xml:space="preserve"> Схема (карта) расположения пастбищ на территории Екпинский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сельский округ на 2023-2024</w:t>
            </w:r>
            <w:r>
              <w:br/>
            </w:r>
            <w:r>
              <w:rPr>
                <w:rFonts w:ascii="Times New Roman"/>
                <w:b w:val="false"/>
                <w:i w:val="false"/>
                <w:color w:val="000000"/>
                <w:sz w:val="20"/>
              </w:rPr>
              <w:t>годы</w:t>
            </w:r>
          </w:p>
        </w:tc>
      </w:tr>
    </w:tbl>
    <w:bookmarkStart w:name="z87" w:id="72"/>
    <w:p>
      <w:pPr>
        <w:spacing w:after="0"/>
        <w:ind w:left="0"/>
        <w:jc w:val="left"/>
      </w:pPr>
      <w:r>
        <w:rPr>
          <w:rFonts w:ascii="Times New Roman"/>
          <w:b/>
          <w:i w:val="false"/>
          <w:color w:val="000000"/>
        </w:rPr>
        <w:t xml:space="preserve"> Приемлемые схемы пастбищеоборотов</w:t>
      </w:r>
    </w:p>
    <w:bookmarkEnd w:id="72"/>
    <w:bookmarkStart w:name="z8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90" w:id="7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93" w:id="76"/>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6"/>
    <w:bookmarkStart w:name="z9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96" w:id="7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99" w:id="8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0"/>
    <w:bookmarkStart w:name="z10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Екпинский сельский округ</w:t>
            </w:r>
            <w:r>
              <w:br/>
            </w:r>
            <w:r>
              <w:rPr>
                <w:rFonts w:ascii="Times New Roman"/>
                <w:b w:val="false"/>
                <w:i w:val="false"/>
                <w:color w:val="000000"/>
                <w:sz w:val="20"/>
              </w:rPr>
              <w:t>на 2023-2024 годы</w:t>
            </w:r>
          </w:p>
        </w:tc>
      </w:tr>
    </w:tbl>
    <w:bookmarkStart w:name="z102" w:id="8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2"/>
    <w:bookmarkStart w:name="z10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