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64d9" w14:textId="2a06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26 марта 2015 года № 4-4/258 "Об утверждении цен на услуги, реализуемые субъектом государственной монополии в области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января 2024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26 марта 2015 года № 4-4/258 "Об утверждении цен на услуги, реализуемые субъектом государственной монополии в области карантина растений" (зарегистрирован в Реестре государственной регистрации нормативных правовых актов № 11706)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карантине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области карантина растений,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4-4/258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области карантина растений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карантинного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техники (выбор вида опрыскивающей техники производится с учетом особенностей развития карантинных организмов, площади заражения, эффективного и своевременного проведения работ по химической обработке)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обработку 1 (одного)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налога на добавленную 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налога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вредители бахчевых культур, такие как дынная муха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Вентиляторные или ранцевые опрыскиватели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(в открытом грунте)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Ранцевые опрыскиватели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(в закрытом грунте)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Ранцевые опрыскиватели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Вентиляторные опрыскиватели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Карантинные виды сорняков: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 ползучий (розовый);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 полыннолистная;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 многолетняя;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Штанговые, вентиляторные или ранцевые опрыскиватели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