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e8fd" w14:textId="69ee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2024 года № 17/153-VIII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17/153-VIIІ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научно-исследовательских, оздоровительных, рекреационных, историко-культурных, туристских и спортивных целей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оздоровительных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историко-культурных рекреационных,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(от одного года до десяти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оздоровительных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историко-культурных, рекреационных,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(от одного года до десяти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государственного лесного фонда для размещения ульев и пасек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государственного лесного фонда для огородничества, бахчеводства, садоводства и выращивания иных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уровне ставок земельного налога, установленных статьей 503 Налогового кодекса Республики Казахстан с учетом условий пункта 1 статьи 510 Налогового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государственного лесного фонда для сенокошения, в том числе по качественному состоянию сенокосных угодий: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участков государственного лесного фонда для пастьбы скота, в том числе по видам скота: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второстепенного древесного ресурса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Вяз, клен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древовидная, тополь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боярышник, вишня, лох, шелковица, яблоня, прочие древесные породы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ставкам платы применяются следующие коэффициенты: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удаленности лесосек от дорог общего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км – 1,30;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– 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– 1,00;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–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– 0,55;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– 0,40;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100 км – 0,30.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