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c5c8" w14:textId="2d0c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Кишикумского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383.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Кишикумского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87382,1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15337,5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71994,2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87580,9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–198,8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в доход бюджета сельского округа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 в бюджете сельского округа на 2025 год поступление целевого текущего трансферта в сумме 47,0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Учесть в бюджете сельского округа на 2025 год поступление целевые текущие трансферты из районного бюджета в сумме 71947,2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Кишикумского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местных бюджетных программ, не подлежащих секвестру в процессе исполнения бюджета Кишикумского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Шалкарского районного маслихата Актюбинской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бюджета (использование профицита)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бюджета (использование профицита)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Кишикумского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