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e93a" w14:textId="fc4e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Хромтауского районного маслихата от 30 декабря 2021 года № 177 "Об утверждении Правил проведения раздельных сходов местного сообщества в Хромтауском районе"</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15 апреля 2024 года № 179</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(зарегистрировано в Реестре государственной регистрации нормативных правовых актов под №32894), Хромтауский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"Об утверждении Правил проведения раздельных сходов местного сообщества в Хромтауском районе" от 30 декабря 2021 года №177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в Хромтауском районе, утвержденной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Хромтауского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Болатов Э.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15 апреля 2024 года №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30 декабря 2021 года № 177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в Хромтауском районе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города районного значения, села, сельского округа на территории Хромтауского района.</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сельского округа,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left"/>
      </w:pPr>
      <w:r>
        <w:rPr>
          <w:rFonts w:ascii="Times New Roman"/>
          <w:b/>
          <w:i w:val="false"/>
          <w:color w:val="000000"/>
        </w:rPr>
        <w:t xml:space="preserve">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Акимом города районного значения, села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и сельского округа для регистрации.</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