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5e02" w14:textId="72a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59711,0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 основного капитала –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5138,4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42689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