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d933" w14:textId="ff4d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2024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19.05.2025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6 008 933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6 704 308,2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647 845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8 решения Актюбинского маслихата "Об областном бюджете на 2025-2027 годы" предусмотрена на 2025 год субвенция, передаваемая из областного бюджета в районный бюджет в сумме – 1 321 694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субвенции, передаваемых из районного бюджета в бюджеты сельских округов и села в сумме – 332 952,0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44 494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44 191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42 570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42 689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Шамши Калдаякова – 20 516,0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трансфертов на развитие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Каргалинского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целевые текущие трансферты и трансферты на развитие бюджетам сельских округов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Каргалинского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сумме – 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Каргалинского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бюджета, не подлежащих секвестру в процессе исполнения местного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