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108" w14:textId="b4e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324 176,5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239 386,5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347 140,5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22964,0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22964,0,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год </w:t>
      </w:r>
      <w:r>
        <w:rPr>
          <w:rFonts w:ascii="Times New Roman"/>
          <w:b w:val="false"/>
          <w:i w:val="false"/>
          <w:color w:val="000000"/>
          <w:sz w:val="28"/>
        </w:rPr>
        <w:t>субвенци</w:t>
      </w:r>
      <w:r>
        <w:rPr>
          <w:rFonts w:ascii="Times New Roman"/>
          <w:b w:val="false"/>
          <w:i w:val="false"/>
          <w:color w:val="000000"/>
          <w:sz w:val="28"/>
        </w:rPr>
        <w:t>я, передаваемая из районного бюджета в бюджет сельского округа в сумме 108 190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