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0559" w14:textId="9750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Актюбинского областного маслихата от 24 февраля 2021 года № 16 "Об утверждении Правил выпаса сельскохозяйственных животных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сентября 2024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Правил выпаса сельскохозяйственных животных по Актюбинской области" от 24 февраля 2021 года № 16 (зарегистрировано в Реестре государственной регистрации нормативных правовых актов № 8075)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выпаса сельскохозяйственных животных по Актюбинской области,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поголовья сельскохозяйственных животных личного подворья;".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"Выпас сельскохозяйственных животных на пастбищах осуществляется в соответствии с Планами.".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реализацию Плана и представляют ежегодный отчет о ходе его реализации органу местного самоуправления (сходу местного сообщества);".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