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d93" w14:textId="de1e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финансовых работников организаций образования Актюбинской области,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июня 2024 года № 144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финансовых работников организаций образования Актюбинской области,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финансовых работников организаций образования Актюбинской области, финансируемых из местного бюджета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финансовых работников организаций образования Актюбинской области (далее - Организаций),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повышения материальной заинтересованности в своевременном и качественном выполнении функции и задач работников Организации, а также за надлежащее выполнение должностных (служебных) обязанностей, и распространяются на финансовых работников организаций образования Актюбинской области, финансируемых из местного бюджета.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и их размер устанавливаются за счет средств местного бюджета, по решению Актюбинского областного маслихата.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областного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вносится непосредственным руководителем работника самостоятельных структурных подразделений первому руководителю Организации.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и основания.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20-ти календарных дней.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установлении стимулирующей надбавки к должностному окладу,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необхомых информации в представлении для установления стимулирующей надбавки;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исполнительской и трудовой дисциплины.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к должностным окладам не устанавливается работникам: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организаций должны быть предусмотрены в плане финансирования (плане развития) организации каждый финансовый год.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