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0e2a" w14:textId="e190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села Коянды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25 декабря 2024 года № 288/36-8.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Целиноградского районного маслихата Акмолинской области от 16.06.2025 </w:t>
      </w:r>
      <w:r>
        <w:rPr>
          <w:rFonts w:ascii="Times New Roman"/>
          <w:b w:val="false"/>
          <w:i w:val="false"/>
          <w:color w:val="000000"/>
          <w:sz w:val="28"/>
        </w:rPr>
        <w:t>№ 351/46-8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Коянды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222 954,5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127 550,9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31 722,4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63 681,2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263 354,5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-40 400,0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40 400,0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40 400,0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414/55-8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села на 2025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сумм целевых трансфертов определяется постановлением акимата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288/36-8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Коянды на 2025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414/55-8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222 954,5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263 354,5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288/36-8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Коянды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288/36-8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Коянды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288/36-8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20.10.2025 </w:t>
      </w:r>
      <w:r>
        <w:rPr>
          <w:rFonts w:ascii="Times New Roman"/>
          <w:b w:val="false"/>
          <w:i w:val="false"/>
          <w:color w:val="ff0000"/>
          <w:sz w:val="28"/>
        </w:rPr>
        <w:t>№ 387/50-8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