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3695" w14:textId="1203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Новочеркасского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20 декабря 2024 года № 8С-31-10.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Новочеркасского сельского округа на 2025 – 2027 годы,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30227,3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17954,5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31334,0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1106,7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Астраханского районного маслихата Акмолинской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8С-44-10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бюджета Новочеркасского сельского округа на 2025 год предусмотрены бюджетные субвенции, передаваемые из районного бюджета в бюджет сельского округа в сумме 7699,0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объеме бюджета Новочеркасского сельского округа на 2025 год предусмотрены целевые текущие трансферты из республиканского бюджета в общей сумме 7 тысяч тенге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программ, не подлежащих секвестру в процессе исполнения бюджета Новочеркасского сельского округа на 2025 год, согласно приложению 4.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8C-31-10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Новочеркасского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Астраханского районного маслихата Акмолинской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8С-44-10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8C-31-10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Новочеркасского сельского округа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8C-31-10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Новочеркасского сельского округа на 2027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8C-31-10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Новочеркасского сельского округа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