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364b" w14:textId="576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целевых индикаторов и показателей результатов по подготовке граждан по военно-техническим и иным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ноября 2024 года № 1387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2021 года № 93, "Об утверждении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столицы" (зарегистрирован в Реестре государственной регистрации нормативных правовых актов под № 24908),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целевых индикаторов и показателей результатов по подготовке граждан по военно-техническим и иным специальностям.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2024 года № 1387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целевых индикаторов и показателей результатов по подготовке граждан по военно-техническим и иным специальностям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Перечень целевых индикаторов и показателей результатов, подлежащих расчету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 и показателя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данных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(официальная статистическая информация, международная статистика, административные данные)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отобранных военно-технических и иных специалистов из структурных организаций Министерства обороны Республики Казахстан.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обороны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военно-технических и иных специалистов из специализированных организаций Министерства обороны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Министерства обороны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Алгоритм расчета целевого индикатора и показателя результатов "Количество отобранных военно-технических и иных специалистов в Департаментах по делам обороны, имеющихся недостатках и принимаемых мерах по их устранению"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целевого индикатора и показателя результатов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показывает динамику роста количества поступивших на обучение военно-технических и иных специалистов отобранных в Департаментах по делам обороны филиалы военно-технических школ.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целевому индикатору и показателю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формируется с периодичностью 2 раза в год, по окончании периода весеннего и осеннего призывов.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целевому индикатору и показателю результатов (при наличии)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 "О внесении изменений в приказ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размещения: официальный интернет-ресурс Министерства обороны https://www.gov.kz/memleket/entities/mod?lang=ru&amp;ysclid=lte2an3p6p688920140 (в разделе "Военно-патриотическое воспитание").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целевого индикатора и показателя результатов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целевого индикатора и показателя результатов производится по следующей формуле: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ВТСо = А1+А2+А3+А4……….А20*100% где: Кпотр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ВТСо - военно-технические и иные специалисты, отобранные в Департаментах по делам обороны (далее-ДДО);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Кпотр – запланированное потребное количество обучаемых военно-технических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А1 - ДДО г.Астана;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 – ДДО г.Алматы;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А3 - ДДО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А4 - ДДО Актюбинской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А5 - ДДО Алматинской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А6 - ДДО Атырауской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А7 - ДДО Восточно-Казахстанской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А8 - ДДО Западно-Казахстанской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А9 - ДДО Северо-Казахстанской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А10 - ДДО Жамбылской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А11 - ДДО Карагандинской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А12 - ДДО Кызылординской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А13 - ДДО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А14 - ДДО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А15 - ДДО Павлодарской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А16 - ДДО Туркестанской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А17 - ДДО г.Шымкент;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А18 - ДДО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А19 - ДДО области Жетысу;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А20 - ДДО области Улытау;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измерения: человек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графой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(при необходимости указать на областном/ районном/городском уровнях)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с показателями вышестоящих документов СГП путем каскадирования или декомпозиции с определением доли вклада каждого государственного органа-соисполнителя в достижении целевого индикатора и показателя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расчета целевого индикатора и показателя результата "Количество выпущенных военно-технических и иных специалистов из специализированных организаций Министерства обороны Республики Казахстан, имеющихся недостатках и принимаемых мерах по их устранению"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целевого индикатора и показателя результатов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показывает динамику роста количества выпущенных (обучившихся) в филиалах военно-технических школ, военно-технических и иных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целевому индикатору и показателю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формируется с периодичностью 2 раза в год, по окончании периода весеннего и осеннего призывов.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целевому индикатору и показателю результатов (при наличии)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 "О внесении изменений в приказ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размещения: официальный интернет-ресурс Министерства обороны https://www.gov.kz/memleket/entities/mod?lang=ru&amp;ysclid=lte2an3p6p688920140 (в разделе "Военно-патриотическое воспитание").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целевого индикатора и показателя результатов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целевого индикатора и показателя результатов производится по следующей формуле: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ВТСв = В1+В2+В3+В4……….В8*100% где: Кпотр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ВТСв - военно-технические и иные специалисты выпущенные специализированными организациями Министерства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Кпотр – запланированное потребное количество обучаемых военно-технических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В1 - Алматинский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 – Карагандинский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В3 - Павлодарский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В4 - Талдыкорганский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В5 - Таразский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В6 - Уральский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В7 - Усть-Каменогорский филиал ВТШ;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В8 - Шымкентский филиал ВТШ.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измерения: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графой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(при необходимости указать на областном/ районном/городском уровнях)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с показателями вышестоящих документов СГП путем каскадирования или декомпозиции с определением доли вклада каждого государственного органа-соисполнителя в достижении целевого индикатора и показателя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