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96cd" w14:textId="b469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сентября 2024 года № 1102.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1102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Министерства обороны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Министерства обороны Республики Казахстан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 (далее – Закон).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правовые и организационные основы деятельности научно-технического совета Министерства обороны Республики Казахстан (далее – НТС).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обороны Республики Казахстан и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 (далее – РННТД);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формированию реализации научно-технических проектов и программ;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РННТД;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проектов научно-исследовательских, научно-технических и опытно-конструкторских работ в военной сфере;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предложений и реализация мер по обеспечению прозрачности отчислений и распределений средств, направляемых на финансирование научно-исследовательских, научно-технических и (или) опытно-конструкторских работ;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и участие в развитии научных организаций и организации технологической и инновационной деятельности.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на него задачами НТС выполняет следующие функции: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финансирования научных исследований, научных, научно-технических проектов и программ, НИОКР, а также проектов коммерциализации РННТД из средств государственного бюджета: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научно-технических и научно-технологических задач и программ;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деятельности;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технических заданий по программно-целевому финансированию;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технологической политики и мерам поддержки инновационной деятельности: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основным направлениям технологической политики;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приоритетов технологического развития и основных направлений технологической политики;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по вопросам инновационного и технологического развития Вооруженных Сил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совершенствованию инновационной системы и деятельности субъектов инновационной системы, участвующих в поддержке инновационной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предложения по технологической политики в военной сфере;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определению ключевых (приоритетных) технологий, центров технологических компетенций, целевых технологических программ и организации технологических платформ в военной сфере;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в рамках выполнения задач Министерства обороны Республики Казахстан: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сотрудничества с субъектами научной и (или) научно-технической деятельности, высшими учебными заведениями, субъектами предпринимательства,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с выработкой соответствующих рекомендаций по поручению Министра обороны Республики Казахстан.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обороны Республики Казахстан с учетом предложений и рекомендаций научного сообщества, и утверждается Министром обороны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Председателя и постоянных членов. В состав НТС входят представители (ученые) департаментов военного образования и науки, военно-технической политики, экономики и финансов, оперативного планирования, боевой подготовки, информационных технологий, члены ННС, а также научных организаций, являющихся субъектами научной и (или) научно-технической деятельности.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НТС избираются ученые: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военных учебных заведениях;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военной сфере не менее 5 (пять) лет.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(70 %) от состава НТС состоит из работников и (или) экспертов, имеющих стаж работы 5 (пять) лет: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департаментов военного образования и науки, военно-технической политики, экономики и финансов, оперативного планирования, боевой подготовки и информационных технологий;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ННС и научных организаций, являющихся субъектами научной и (или) научно-технической деятельности.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и заместитель председателя НТС избирается членами НТС из числа членов НТС посредством открытого голосования на первом заседании НТС.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НТС: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общую координацию над реализацией решений НТС.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 время отсутствия председателя его функции выполняет заместитель.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НТС утверждается сроком на 3 (три) года и состоит из нечетного числа членов в количестве 9 (девять) и 25 (двадцать пять) человек.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Работа НТС осуществляется в форме проведения очных и заочных заседаний. При необходимости заседания НТС проводятся с использованием инфокоммуникационных технологий и систем связи Министерства обороны Республики Казахстан. Протоколы заседания, материалы по вопросам повестки дня, отчеты, акты передаются в Департамент военного образования и науки Министерства обороны Республики Казахстан (далее – Рабочий орган)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Секретарь, являющийся должностным лицом рабочего органа НТС, осуществляет: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проектов решений НТС и оформление протоколов после заседаний.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Рабочий орган в целях обеспечения деятельности НТС осуществляет: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предложений по формированию Перечня от членов НТС на ежегодной основе;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материалов, направляемых членам НТС за 5 (пять) рабочих дней до проведения заседания;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составление и координация выполнения планов и отчетов о работе НТС.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обороны РК от 07.02.2025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орган НТС ежегодно, не позднее 20 числа месяца следующего за отчетным годом, представляет в уполномоченный орган в области науки информацию о работе НТС по итогам отчетного периода.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