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1ab" w14:textId="e33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25 сентября 2018 года № 625 "Об утверждении Норм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августа 2024 года № 942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сентября 2018 года № 625 "Об утверждении Норм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Казахстан" (зарегистрирован в Реестре государственной регистрации нормативных правовых актов под № 17852) следующие изменения: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норм и нормативов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нормативы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Казахстан, утвержденных указанным приказом: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нормы и нормативы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