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3885" w14:textId="09d3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25 октября 2019 года № 855 "Об утверждении норм снабжения мебелью и казарменным инвентарем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февраля 2024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 октября 2019 года № 855 "Об утверждении норм снабжения мебелью и казарменным инвентарем Вооруженных Сил Республики Казахстан" (зарегистрирован в Реестре государственной регистрации нормативных правовых актов под № 19533)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мебелью и казарменным инвентарем Вооруженных Сил Республики Казахстан,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82, параграф 11, главы 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стандартных книг, журналов и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126, параграф 25, главы 2,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стандартных книг, журналов и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61, параграф 5, главы 4,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стандартных книг, журналов и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параграф 7, главы 5,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стандартных книг, журналов и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параграф 5, главы 6,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(металлический)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стандартных книг, журналов и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