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b4e1a" w14:textId="92b4e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Чингирлаускому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Чингирлауского районного маслихата Западно-Казахстанской области от 17 января 2023 года № 36-3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Чингирлауский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 xml:space="preserve">РЕШИЛ: 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Чингирлаускому району на 2023-2024 годы согласно приложению к настоящему решению. 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аппарата Чингирлауского районного маслихата (С.Шагиров) обеспечить официальное опубликование в Эталонном контрольном банке нормативных правовых актов Республики Казахстан.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С.Шагиров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Чингирлауского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января 2023 года №36-3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Чингирлаускому району на 2023 -2024 годы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Чингирлаускому району на 2023-2024 годы (далее - План) разработан в соответствии с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Чингирлауского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(</w:t>
      </w:r>
      <w:r>
        <w:rPr>
          <w:rFonts w:ascii="Times New Roman"/>
          <w:b w:val="false"/>
          <w:i w:val="false"/>
          <w:color w:val="000000"/>
          <w:sz w:val="28"/>
        </w:rPr>
        <w:t>приложение 7-1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– пастбище 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холодная, лето жаркое и засушливое. Среднегодовая температура воздуха в январе – -15;-35°С, в июле +25;+40°С. Средний размер осадков составляет - 30 мм, а годовой - 214 мм. 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124 видов. Самые распространҰнные из них белополынно-типчаковые и полынно-житняковые пустынные травы. Почвы светло-каштановые, на юге встречаются пески и солончаковые земли. Толщина плодородной почвы 40-50 см.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водного режима является резко выраженное весеннее половодье, начинающееся обычно в начале апреля.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самым крупным рекам в районе относится река Илек. 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таблицей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Министра сельского хозяйства Республики Казахстан от 30 декабря 2016 года № 545.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Чингирлауском районе насчитывается крупного рогатого скота (КРС) – 40 487 голов, мелкого рогатого скота (МРС) – 39 693 голов, лошадей – 9 289 голов, 54 голов верблюдов и 31 121 птиц.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172 "О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норматив нагрузки на 1 голову в засушливой степи составляет: крупный рогатый скот – 8,5 гектар, овцы и козы – 1,7 гектар, лошади – 10,2 гектар, верблюды – 11,9 гектар.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Предельно допустимая норма нагрузки на общую площадь пастбищ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Природ-ная зона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Эколого-географи-ческий район (подзона)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(преобла- дающий)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урожай-ность пастбищ валовая/ кормовая единица, центнер/ гектар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Засушливая степь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Типчаково-полынно-ковыльные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2,9/1,4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 - территориальному делению в Чингирлауском районе имеются 8 сельских округов, 25 сельских населенных пунктов.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Чингирлауского района в разрезе категорий ( га )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территории: из них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788 989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372 323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19 094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198 802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92065</w:t>
            </w:r>
          </w:p>
        </w:tc>
      </w:tr>
    </w:tbl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района в разрезе сельских округов ( га )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сельскохо-зяйственного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Котантал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Торатбас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Алмазненский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Аккудук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Женишке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Шынгырлау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Аксугум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Шоктыбай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Чингирлауского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6"/>
    <w:bookmarkStart w:name="z36" w:id="27"/>
    <w:p>
      <w:pPr>
        <w:spacing w:after="0"/>
        <w:ind w:left="0"/>
        <w:jc w:val="left"/>
      </w:pP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7978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Акбулакского с/о, Чингирлауского района 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2517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</w:t>
      </w:r>
    </w:p>
    <w:bookmarkEnd w:id="30"/>
    <w:bookmarkStart w:name="z4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Актауского с/о, Чингирлауского района 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2"/>
          <w:p>
            <w:pPr>
              <w:spacing w:after="20"/>
              <w:ind w:left="20"/>
              <w:jc w:val="both"/>
            </w:pPr>
          </w:p>
          <w:bookmarkEnd w:id="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71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71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44" w:id="3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Приемлемые схемы пастбищеоборотов Акшатского с/о, Чингирлауского района</w:t>
            </w:r>
          </w:p>
          <w:bookmarkEnd w:id="33"/>
          <w:bookmarkStart w:name="z45" w:id="34"/>
          <w:p>
            <w:pPr>
              <w:spacing w:after="20"/>
              <w:ind w:left="20"/>
              <w:jc w:val="both"/>
            </w:pPr>
          </w:p>
          <w:bookmarkEnd w:id="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32600" cy="9537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0" cy="953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46" w:id="35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Приемлемые схемы пастбищеоборотов Алмазненского с/о, Чингирлауского района  </w:t>
            </w:r>
          </w:p>
          <w:bookmarkEnd w:id="35"/>
          <w:bookmarkStart w:name="z47" w:id="36"/>
          <w:p>
            <w:pPr>
              <w:spacing w:after="20"/>
              <w:ind w:left="20"/>
              <w:jc w:val="both"/>
            </w:pPr>
          </w:p>
          <w:bookmarkEnd w:id="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995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99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48" w:id="37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Приемлемые схемы пастбищеоборотов Ардакского с/о, Чингирлауского района</w:t>
            </w:r>
          </w:p>
          <w:bookmarkEnd w:id="37"/>
          <w:bookmarkStart w:name="z49" w:id="38"/>
          <w:p>
            <w:pPr>
              <w:spacing w:after="20"/>
              <w:ind w:left="20"/>
              <w:jc w:val="both"/>
            </w:pPr>
          </w:p>
          <w:bookmarkEnd w:id="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518400" cy="900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0" cy="900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50" w:id="3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Приемлемые схемы пастбищеоборотов Ащысайского с/о, Чингирлауского района</w:t>
            </w:r>
          </w:p>
          <w:bookmarkEnd w:id="39"/>
          <w:bookmarkStart w:name="z51" w:id="40"/>
          <w:p>
            <w:pPr>
              <w:spacing w:after="20"/>
              <w:ind w:left="20"/>
              <w:jc w:val="both"/>
            </w:pPr>
          </w:p>
          <w:bookmarkEnd w:id="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048500" cy="967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0" cy="967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52" w:id="41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Приемлемые схемы пастбищеоборотов Карагашского с/о, Чингирлауского района</w:t>
            </w:r>
          </w:p>
          <w:bookmarkEnd w:id="41"/>
          <w:bookmarkStart w:name="z53" w:id="42"/>
          <w:p>
            <w:pPr>
              <w:spacing w:after="20"/>
              <w:ind w:left="20"/>
              <w:jc w:val="both"/>
            </w:pPr>
          </w:p>
          <w:bookmarkEnd w:id="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53300" cy="930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93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54" w:id="4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Приемлемые схемы пастбищеоборотов Чингирлауского с/о, Чингирлауского района</w:t>
            </w:r>
          </w:p>
          <w:bookmarkEnd w:id="43"/>
          <w:bookmarkStart w:name="z55" w:id="44"/>
          <w:p>
            <w:pPr>
              <w:spacing w:after="0"/>
              <w:ind w:left="0"/>
              <w:jc w:val="both"/>
            </w:pPr>
          </w:p>
          <w:bookmarkEnd w:id="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910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910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Чингирлаунскому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годы</w:t>
            </w:r>
          </w:p>
        </w:tc>
      </w:tr>
    </w:tbl>
    <w:bookmarkStart w:name="z5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Акбулакского с/о, Чингирлауского района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Актауского с/о, Чингирлауского района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Акшатского с/о, Чингирлауского района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Алмазненского с/о, Чингирлауского района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Ардакского с/о, Чингирлауского района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Ащысайского с/о, Чингирлауского района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Карагашского с/о, Чингирлауского района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Чингирлауского с/о, Чингирлауского района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годы</w:t>
            </w:r>
          </w:p>
        </w:tc>
      </w:tr>
    </w:tbl>
    <w:bookmarkStart w:name="z8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составленную, согласно норме потребления воды по Акбулакскому сельскому округу, Чингирлауского района</w:t>
      </w:r>
    </w:p>
    <w:bookmarkEnd w:id="69"/>
    <w:bookmarkStart w:name="z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составленную, согласно норме потребления воды по Актаускому сельскому округу, Чингирлауского района</w:t>
      </w:r>
    </w:p>
    <w:bookmarkEnd w:id="72"/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по Акшатскому сельскому округу, Чингирлауского района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по Алмазненскому сельскому округу, Чингирлауского района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по Ардакскому сельскому округу, Чингирлауского района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по Ащысайскому сельскому округу, Чингирлауского района</w:t>
      </w:r>
    </w:p>
    <w:bookmarkEnd w:id="84"/>
    <w:bookmarkStart w:name="z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по Чингирлаускому сельскому округу, Чингирлауского района</w:t>
      </w:r>
    </w:p>
    <w:bookmarkEnd w:id="87"/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 – 2024 годы</w:t>
            </w:r>
          </w:p>
        </w:tc>
      </w:tr>
    </w:tbl>
    <w:bookmarkStart w:name="z10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 Акбулакскому сельскому округу, Чингирлауского района</w:t>
      </w:r>
    </w:p>
    <w:bookmarkEnd w:id="90"/>
    <w:bookmarkStart w:name="z10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по Актаускому сельскому округу, Чингирлауского района</w:t>
      </w:r>
    </w:p>
    <w:bookmarkEnd w:id="93"/>
    <w:bookmarkStart w:name="z10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по Акшатскому сельскому округу, Чингирлауского района 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по Алмазненскому сельскому округу, Чингирлауского района</w:t>
      </w:r>
    </w:p>
    <w:bookmarkEnd w:id="99"/>
    <w:bookmarkStart w:name="z11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по Ардакскому сельскому округу, Чингирлауского района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по Ащысайскому сельскому округу, Чингирлауского района</w:t>
      </w:r>
    </w:p>
    <w:bookmarkEnd w:id="105"/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по Карагашскому сельскому округу, Чингирлауского района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по Чингирлаускому сельскому округу, Чингирлауского района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 – 2024 годы</w:t>
            </w:r>
          </w:p>
        </w:tc>
      </w:tr>
    </w:tbl>
    <w:bookmarkStart w:name="z12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14"/>
    <w:bookmarkStart w:name="z130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Акбулакский сельский округ</w:t>
      </w:r>
    </w:p>
    <w:bookmarkEnd w:id="115"/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7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33" w:id="118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      </w:r>
          </w:p>
          <w:bookmarkEnd w:id="118"/>
          <w:bookmarkStart w:name="z134" w:id="11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Актауский сельский округ</w:t>
            </w:r>
          </w:p>
          <w:bookmarkEnd w:id="119"/>
          <w:bookmarkStart w:name="z135" w:id="120"/>
          <w:p>
            <w:pPr>
              <w:spacing w:after="20"/>
              <w:ind w:left="20"/>
              <w:jc w:val="both"/>
            </w:pPr>
          </w:p>
          <w:bookmarkEnd w:id="1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684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684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37" w:id="121"/>
          <w:p>
            <w:pPr>
              <w:spacing w:after="0"/>
              <w:ind w:left="0"/>
              <w:jc w:val="both"/>
            </w:pPr>
            <w:bookmarkStart w:name="z137" w:id="122"/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</w:t>
            </w:r>
          </w:p>
          <w:bookmarkEnd w:id="122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пастбищах физических и (или) юридических лиц, не обеспеченных пастбищами,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>расположенными при городе районного значения, поселке, селе, сельском округе</w:t>
            </w:r>
          </w:p>
          <w:bookmarkEnd w:id="121"/>
          <w:bookmarkStart w:name="z138" w:id="12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Акшатский сельский округ</w:t>
            </w:r>
          </w:p>
          <w:bookmarkEnd w:id="123"/>
          <w:bookmarkStart w:name="z139" w:id="124"/>
          <w:p>
            <w:pPr>
              <w:spacing w:after="20"/>
              <w:ind w:left="20"/>
              <w:jc w:val="both"/>
            </w:pPr>
          </w:p>
          <w:bookmarkEnd w:id="1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41" w:id="125"/>
          <w:p>
            <w:pPr>
              <w:spacing w:after="0"/>
              <w:ind w:left="0"/>
              <w:jc w:val="both"/>
            </w:pPr>
            <w:bookmarkStart w:name="z141" w:id="126"/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</w:t>
            </w:r>
          </w:p>
          <w:bookmarkEnd w:id="126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пастбищах физических и (или) юридических лиц, не обеспеченных пастбищами,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>расположенными при городе районного значения, поселке, селе, сельском округе</w:t>
            </w:r>
          </w:p>
          <w:bookmarkEnd w:id="125"/>
          <w:bookmarkStart w:name="z142" w:id="127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Алмазненский сельский округ</w:t>
            </w:r>
          </w:p>
          <w:bookmarkEnd w:id="127"/>
          <w:bookmarkStart w:name="z143" w:id="128"/>
          <w:p>
            <w:pPr>
              <w:spacing w:after="20"/>
              <w:ind w:left="20"/>
              <w:jc w:val="both"/>
            </w:pPr>
          </w:p>
          <w:bookmarkEnd w:id="1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45" w:id="129"/>
          <w:p>
            <w:pPr>
              <w:spacing w:after="0"/>
              <w:ind w:left="0"/>
              <w:jc w:val="both"/>
            </w:pPr>
            <w:bookmarkStart w:name="z145" w:id="130"/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</w:t>
            </w:r>
          </w:p>
          <w:bookmarkEnd w:id="130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пастбищах физических и (или) юридических лиц, не обеспеченных пастбищами,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>расположенными при городе районного значения, поселке, селе, сельском округе</w:t>
            </w:r>
          </w:p>
          <w:bookmarkEnd w:id="129"/>
          <w:bookmarkStart w:name="z146" w:id="131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Ардакский сельский округ</w:t>
            </w:r>
          </w:p>
          <w:bookmarkEnd w:id="131"/>
          <w:bookmarkStart w:name="z147" w:id="132"/>
          <w:p>
            <w:pPr>
              <w:spacing w:after="20"/>
              <w:ind w:left="20"/>
              <w:jc w:val="both"/>
            </w:pPr>
          </w:p>
          <w:bookmarkEnd w:id="1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688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688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49" w:id="133"/>
          <w:p>
            <w:pPr>
              <w:spacing w:after="0"/>
              <w:ind w:left="0"/>
              <w:jc w:val="both"/>
            </w:pPr>
            <w:bookmarkStart w:name="z149" w:id="134"/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</w:t>
            </w:r>
          </w:p>
          <w:bookmarkEnd w:id="134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пастбищах физических и (или) юридических лиц, не обеспеченных пастбищами,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>расположенными при городе районного значения, поселке, селе, сельском округе</w:t>
            </w:r>
          </w:p>
          <w:bookmarkEnd w:id="133"/>
          <w:bookmarkStart w:name="z150" w:id="135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Ащысайский сельский округ</w:t>
            </w:r>
          </w:p>
          <w:bookmarkEnd w:id="135"/>
          <w:bookmarkStart w:name="z151" w:id="136"/>
          <w:p>
            <w:pPr>
              <w:spacing w:after="20"/>
              <w:ind w:left="20"/>
              <w:jc w:val="both"/>
            </w:pPr>
          </w:p>
          <w:bookmarkEnd w:id="1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24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2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53" w:id="137"/>
          <w:p>
            <w:pPr>
              <w:spacing w:after="0"/>
              <w:ind w:left="0"/>
              <w:jc w:val="both"/>
            </w:pPr>
            <w:bookmarkStart w:name="z153" w:id="138"/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</w:t>
            </w:r>
          </w:p>
          <w:bookmarkEnd w:id="138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пастбищах физических и (или) юридических лиц, не обеспеченных пастбищами,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>расположенными при городе районного значения, поселке, селе, сельском округе</w:t>
            </w:r>
          </w:p>
          <w:bookmarkEnd w:id="137"/>
          <w:bookmarkStart w:name="z154" w:id="13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Карагашский сельский округ</w:t>
            </w:r>
          </w:p>
          <w:bookmarkEnd w:id="139"/>
          <w:bookmarkStart w:name="z155" w:id="140"/>
          <w:p>
            <w:pPr>
              <w:spacing w:after="20"/>
              <w:ind w:left="20"/>
              <w:jc w:val="both"/>
            </w:pPr>
          </w:p>
          <w:bookmarkEnd w:id="1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758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7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157" w:id="141"/>
          <w:p>
            <w:pPr>
              <w:spacing w:after="0"/>
              <w:ind w:left="0"/>
              <w:jc w:val="both"/>
            </w:pPr>
            <w:bookmarkStart w:name="z157" w:id="142"/>
            <w:r>
              <w:rPr>
                <w:rFonts w:ascii="Times New Roman"/>
                <w:b/>
                <w:i w:val="false"/>
                <w:color w:val="000000"/>
              </w:rPr>
              <w:t xml:space="preserve"> Схема размещения поголовья сельскохозяйственных животных на отгонных </w:t>
            </w:r>
          </w:p>
          <w:bookmarkEnd w:id="142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пастбищах физических и (или) юридических лиц, не обеспеченных пастбищами,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>расположенными при городе районного значения, поселке, селе, сельском округе</w:t>
            </w:r>
          </w:p>
          <w:bookmarkEnd w:id="141"/>
          <w:bookmarkStart w:name="z158" w:id="14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Чингирлауский сельский округ</w:t>
            </w:r>
          </w:p>
          <w:bookmarkEnd w:id="143"/>
          <w:bookmarkStart w:name="z159" w:id="144"/>
          <w:p>
            <w:pPr>
              <w:spacing w:after="20"/>
              <w:ind w:left="20"/>
              <w:jc w:val="both"/>
            </w:pPr>
          </w:p>
          <w:bookmarkEnd w:id="1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679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679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Чингирлаускому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 – 2024 годы</w:t>
            </w:r>
          </w:p>
        </w:tc>
      </w:tr>
    </w:tbl>
    <w:bookmarkStart w:name="z16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Алмазненский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 – типчаково – полынных степях – составляет 180-200 дней.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ранние, либо более поздние сроки. Данные меры позволят предотвратить возможность деградации пастбищ и возникновение ветровой эрозии. Основными пользователями пастбищ на территории Чингирлауского района являются сельскохозяйственные формирования. Сельскохозяйственные животные населения населенных пунктов пасутся на землях населенных пунктов, сельскохозяйственных формирований и на землях запаса.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 производится непосредственно из водопойных корыт, которыми оснащены артезианские скважины и колодцы.</w:t>
      </w:r>
    </w:p>
    <w:bookmarkEnd w:id="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Чингирлаускому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 – 2024 годы</w:t>
            </w:r>
          </w:p>
        </w:tc>
      </w:tr>
    </w:tbl>
    <w:bookmarkStart w:name="z16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49"/>
    <w:bookmarkStart w:name="z167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Акбулакский сельский округ </w:t>
      </w:r>
    </w:p>
    <w:bookmarkEnd w:id="150"/>
    <w:bookmarkStart w:name="z16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53"/>
    <w:bookmarkStart w:name="z17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54"/>
    <w:bookmarkStart w:name="z17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56"/>
    <w:bookmarkStart w:name="z174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Акшатский сельский округ</w:t>
      </w:r>
    </w:p>
    <w:bookmarkEnd w:id="157"/>
    <w:bookmarkStart w:name="z17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60"/>
    <w:bookmarkStart w:name="z17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Алмазненский сельский округ</w:t>
      </w:r>
    </w:p>
    <w:bookmarkEnd w:id="161"/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64"/>
    <w:bookmarkStart w:name="z182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Ардакский сельский округ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68"/>
    <w:bookmarkStart w:name="z186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Ащысайский сельский округ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72"/>
    <w:bookmarkStart w:name="z19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Карагашский сельский округ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176"/>
    <w:bookmarkStart w:name="z194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Чингирлауский сельский округ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 в разрезе сельских округов</w:t>
      </w:r>
    </w:p>
    <w:bookmarkEnd w:id="1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скота в хозяйствах населения, в том числе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пере-счете на услов-ные головы (гол.)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нагрузки паст-бищ на 1 усл. голову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Потреб-ность пастбищ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населен-ных пунктов (га)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Нехват-ка паст-бищ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 на землях запаса (га)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Верб-люды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7415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18009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4993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Алмазненский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13956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21225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Чингирлауский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17356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92065</w:t>
            </w:r>
          </w:p>
        </w:tc>
      </w:tr>
    </w:tbl>
    <w:bookmarkStart w:name="z20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в разрезе сельских округов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населенных пунктов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 землях запаса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 землях спецфонда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 землях коренного улучшения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Котантал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Торатбас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Акшат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Сулукуль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Алмазненский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Алмазный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Аккудук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Сегизсай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Ардак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Ащысай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Жинишке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Мырзагара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Талдысай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Карагаш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Аксуат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Каргалы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Шынгырлау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Аксугум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Жанакуш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Урысай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Шоктыбай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0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для обеспечения сельскохозяйственных животных по Чингирлаускому району составляет всего 460 664 гектаров.</w:t>
      </w:r>
    </w:p>
    <w:bookmarkEnd w:id="187"/>
    <w:bookmarkStart w:name="z20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Чингирлаускому району имеются всего 460 664 га пастбищных угодий. В черте населенного пункта числится 117 302 га пастбищ, в землях запаса имеются 92 065 га пастбищных угодий. </w:t>
      </w:r>
    </w:p>
    <w:bookmarkEnd w:id="188"/>
    <w:bookmarkStart w:name="z20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в связи с ростом поголовья скота на личных подворьях ощущается недостаток 88 602 га пастбищных угодий.</w:t>
      </w:r>
    </w:p>
    <w:bookmarkEnd w:id="189"/>
    <w:bookmarkStart w:name="z20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 – необходимо рационально использовать пастбищные угодья из государственного фонда и увеличить площади пастбищ за счет земель населенных пунктов, кроме того залежные земли из состава земель запаса необходимо перевести в земли других (пастбища) категорий. Для вовлечения этих земельных участков в сельскохозяйственный оборот необходимо, выделить эти земли лицам, которые не обеспечены пастбищами для выпаса скота. Запас кормов с пастбищ используется в пастбищный период, продолжительность которого 180 - 200 дней. Запас кормов с сенокосов используется в стойловый период.</w:t>
      </w:r>
    </w:p>
    <w:bookmarkEnd w:id="190"/>
    <w:bookmarkStart w:name="z20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Алмазненский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1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действуют 6 ветеринарных пунктов и 8 скотомогильников.</w:t>
      </w:r>
    </w:p>
    <w:bookmarkEnd w:id="192"/>
    <w:bookmarkStart w:name="z2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развитию и реконструкции объектов пастбищной инфраструктуры</w:t>
      </w:r>
    </w:p>
    <w:bookmarkEnd w:id="1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исполнители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Ежемесячно предоставлять отчет по выполнению индикативных планов по строительству колодцев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Ежеквартально к 10 числу месяца, следующего за отчетным периодом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в управление сельского хозяйства области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предпринимательства и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Проводить разъяснительные работы о мерах государственной поддержки по возмещению затрат на приобретение техники и оборудования для обводнения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 и выступления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предпринимательства и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Разместить список предприятий, оказывающих услуги по бурению колодцев (скважин) на интернет ресурсе акимата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предпринимательства и сельского хозяйства района</w:t>
            </w:r>
          </w:p>
        </w:tc>
      </w:tr>
    </w:tbl>
    <w:bookmarkStart w:name="z21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94"/>
    <w:bookmarkStart w:name="z21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КРС – крупный рогатый скот;</w:t>
      </w:r>
    </w:p>
    <w:bookmarkEnd w:id="195"/>
    <w:bookmarkStart w:name="z21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МРС – мелкий рогатый скот;</w:t>
      </w:r>
    </w:p>
    <w:bookmarkEnd w:id="196"/>
    <w:bookmarkStart w:name="z21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</w:t>
      </w:r>
      <w:r>
        <w:rPr>
          <w:rFonts w:ascii="Times New Roman"/>
          <w:b w:val="false"/>
          <w:i w:val="false"/>
          <w:color w:val="000000"/>
          <w:vertAlign w:val="super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> – показатель Цельсия;</w:t>
      </w:r>
    </w:p>
    <w:bookmarkEnd w:id="197"/>
    <w:bookmarkStart w:name="z21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га – гектар;</w:t>
      </w:r>
    </w:p>
    <w:bookmarkEnd w:id="198"/>
    <w:bookmarkStart w:name="z21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мм – миллиметр;</w:t>
      </w:r>
    </w:p>
    <w:bookmarkEnd w:id="199"/>
    <w:bookmarkStart w:name="z21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см – сантиметр;</w:t>
      </w:r>
    </w:p>
    <w:bookmarkEnd w:id="200"/>
    <w:bookmarkStart w:name="z21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с/о – сельский округ.</w:t>
      </w:r>
    </w:p>
    <w:bookmarkEnd w:id="20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