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4e1a" w14:textId="92b4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Чингирлаускому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17 января 2023 года № 36-3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Чингирлаускому району на 2023-2024 годы согласно приложению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Чингирлауского районного маслихата (С.Шагиров)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№36-3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Чингирлаускому району на 2023 -2024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Чингирлаускому району на 2023-2024 годы (далее - План) разработан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Чингирлауского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– пастбище 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холодная, лето жаркое и засушливое. Среднегодовая температура воздуха в январе – -15;-35°С, в июле +25;+40°С. Средний размер осадков составляет - 30 мм, а годовой - 214 мм.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 видов. Самые распространҰнные из них белополынно-типчаковые и полынно-житняковые пустынные травы. Почвы светло-каштановые, на юге встречаются пески и солончаковые земли. Толщина плодородной почвы 40-50 см.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водного режима является резко выраженное весеннее половодье, начинающееся обычно в начале апреля.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самым крупным рекам в районе относится река Илек.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в Чингирлауском районе насчитывается крупного рогатого скота (КРС) – 40 487 голов, мелкого рогатого скота (МРС) – 39 693 голов, лошадей – 9 289 голов, 54 голов верблюдов и 31 121 птиц.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 8,5 гектар, овцы и козы – 1,7 гектар, лошади – 10,2 гектар, верблюды – 11,9 гектар.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допустимая норма нагрузки на общую площадь пастбищ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Природ-ная зона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Эколого-географи-ческий район (подзона)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(преобла- дающий)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урожай-ность пастбищ валовая/ кормовая единица, центнер/ 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животных,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Типчаково-полынно-ковыльные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2,9/1,4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 - территориальному делению в Чингирлауском районе имеются 8 сельских округов, 25 сельских населенных пунктов.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Чингирлауского района в разрезе категорий ( га 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92065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района в разрезе сельских округов ( га 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сельскохо-зяйственного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Котантал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Торатбас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Женишке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Аксугум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Чингирлауского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6"/>
    <w:bookmarkStart w:name="z36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978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Акбулакского с/о, Чингирлауского района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517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Актауского с/о, Чингирлауского района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</w:p>
          <w:bookmarkEnd w:id="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71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71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4"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Приемлемые схемы пастбищеоборотов Акшатского с/о, Чингирлауского района</w:t>
            </w:r>
          </w:p>
          <w:bookmarkEnd w:id="33"/>
          <w:bookmarkStart w:name="z45" w:id="34"/>
          <w:p>
            <w:pPr>
              <w:spacing w:after="20"/>
              <w:ind w:left="20"/>
              <w:jc w:val="both"/>
            </w:pPr>
          </w:p>
          <w:bookmarkEnd w:id="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32600" cy="953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0" cy="953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6"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Приемлемые схемы пастбищеоборотов Алмазненского с/о, Чингирлауского района  </w:t>
            </w:r>
          </w:p>
          <w:bookmarkEnd w:id="35"/>
          <w:bookmarkStart w:name="z47" w:id="36"/>
          <w:p>
            <w:pPr>
              <w:spacing w:after="20"/>
              <w:ind w:left="20"/>
              <w:jc w:val="both"/>
            </w:pPr>
          </w:p>
          <w:bookmarkEnd w:id="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95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95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48"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Приемлемые схемы пастбищеоборотов Ардакского с/о, Чингирлауского района</w:t>
            </w:r>
          </w:p>
          <w:bookmarkEnd w:id="37"/>
          <w:bookmarkStart w:name="z49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518400" cy="900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0" cy="900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0"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Приемлемые схемы пастбищеоборотов Ащысайского с/о, Чингирлауского района</w:t>
            </w:r>
          </w:p>
          <w:bookmarkEnd w:id="39"/>
          <w:bookmarkStart w:name="z51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048500" cy="967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967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2"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Приемлемые схемы пастбищеоборотов Карагашского с/о, Чингирлауского района</w:t>
            </w:r>
          </w:p>
          <w:bookmarkEnd w:id="41"/>
          <w:bookmarkStart w:name="z53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53300" cy="930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0" cy="930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54"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Приемлемые схемы пастбищеоборотов Чингирлауского с/о, Чингирлауского района</w:t>
            </w:r>
          </w:p>
          <w:bookmarkEnd w:id="43"/>
          <w:bookmarkStart w:name="z55" w:id="44"/>
          <w:p>
            <w:pPr>
              <w:spacing w:after="0"/>
              <w:ind w:left="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910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910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Чингирлаунскому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Акбулакского с/о, Чингирлауского района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Актауского с/о, Чингирлауского района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Акшатского с/о, Чингирлауского района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Алмазненского с/о, Чингирлауского района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Ардакского с/о, Чингирлауского района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Ащысайского с/о, Чингирлауского района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Карагашского с/о, Чингирлауского района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Чингирлауского с/о, Чингирлауского района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годы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составленную, согласно норме потребления воды по Акбулакскому сельскому округу, Чингирлауского района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 составленную, согласно норме потребления воды по Актаускому сельскому округу, Чингирлауского района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по Акшатскому сельскому округу, Чингирлауского района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по Алмазненскому сельскому округу, Чингирлауского района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по Ардакскому сельскому округу, Чингирлауского района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по Ащысайскому сельскому округу, Чингирлауского района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обводненным каналам, трубчатым или шахтным колодцам), составленную согласно норме потребления воды по Чингирлаускому сельскому округу, Чингирлауского района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– 2024 годы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Акбулакскому сельскому округу, Чингирлауского района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по Актаускому сельскому округу, Чингирлауского района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по Акшатскому сельскому округу, Чингирлауского района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по Алмазненскому сельскому округу, Чингирлауского района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по Ардакскому сельскому округу, Чингирлауского района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по Ащысайскому сельскому округу, Чингирлауского района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по Карагашскому сельскому округу, Чингирлауского района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 по Чингирлаускому сельскому округу, Чингирлауского района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– 2024 годы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14"/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Акбулакский сельский округ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3"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      </w:r>
          </w:p>
          <w:bookmarkEnd w:id="118"/>
          <w:bookmarkStart w:name="z134"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Актауский сельский округ</w:t>
            </w:r>
          </w:p>
          <w:bookmarkEnd w:id="119"/>
          <w:bookmarkStart w:name="z135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84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84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37" w:id="121"/>
          <w:p>
            <w:pPr>
              <w:spacing w:after="0"/>
              <w:ind w:left="0"/>
              <w:jc w:val="both"/>
            </w:pPr>
            <w:bookmarkStart w:name="z137" w:id="122"/>
            <w:r>
              <w:rPr>
                <w:rFonts w:ascii="Times New Roman"/>
                <w:b/>
                <w:i w:val="false"/>
                <w:color w:val="000000"/>
              </w:rPr>
              <w:t xml:space="preserve"> Схема размещения поголовья сельскохозяйственных животных на отгонных </w:t>
            </w:r>
          </w:p>
          <w:bookmarkEnd w:id="1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пастбищах физических и (или) юридических лиц, не обеспеченных пастбищами,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расположенными при городе районного значения, поселке, селе, сельском округе</w:t>
            </w:r>
          </w:p>
          <w:bookmarkEnd w:id="121"/>
          <w:bookmarkStart w:name="z138"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Акшатский сельский округ</w:t>
            </w:r>
          </w:p>
          <w:bookmarkEnd w:id="123"/>
          <w:bookmarkStart w:name="z139" w:id="124"/>
          <w:p>
            <w:pPr>
              <w:spacing w:after="20"/>
              <w:ind w:left="20"/>
              <w:jc w:val="both"/>
            </w:pP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41" w:id="125"/>
          <w:p>
            <w:pPr>
              <w:spacing w:after="0"/>
              <w:ind w:left="0"/>
              <w:jc w:val="both"/>
            </w:pPr>
            <w:bookmarkStart w:name="z141" w:id="126"/>
            <w:r>
              <w:rPr>
                <w:rFonts w:ascii="Times New Roman"/>
                <w:b/>
                <w:i w:val="false"/>
                <w:color w:val="000000"/>
              </w:rPr>
              <w:t xml:space="preserve"> Схема размещения поголовья сельскохозяйственных животных на отгонных 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пастбищах физических и (или) юридических лиц, не обеспеченных пастбищами,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расположенными при городе районного значения, поселке, селе, сельском округе</w:t>
            </w:r>
          </w:p>
          <w:bookmarkEnd w:id="125"/>
          <w:bookmarkStart w:name="z142"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Алмазненский сельский округ</w:t>
            </w:r>
          </w:p>
          <w:bookmarkEnd w:id="127"/>
          <w:bookmarkStart w:name="z143" w:id="128"/>
          <w:p>
            <w:pPr>
              <w:spacing w:after="20"/>
              <w:ind w:left="20"/>
              <w:jc w:val="both"/>
            </w:pPr>
          </w:p>
          <w:bookmarkEnd w:id="1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45" w:id="129"/>
          <w:p>
            <w:pPr>
              <w:spacing w:after="0"/>
              <w:ind w:left="0"/>
              <w:jc w:val="both"/>
            </w:pPr>
            <w:bookmarkStart w:name="z145" w:id="130"/>
            <w:r>
              <w:rPr>
                <w:rFonts w:ascii="Times New Roman"/>
                <w:b/>
                <w:i w:val="false"/>
                <w:color w:val="000000"/>
              </w:rPr>
              <w:t xml:space="preserve"> Схема размещения поголовья сельскохозяйственных животных на отгонных </w:t>
            </w:r>
          </w:p>
          <w:bookmarkEnd w:id="1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пастбищах физических и (или) юридических лиц, не обеспеченных пастбищами,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расположенными при городе районного значения, поселке, селе, сельском округе</w:t>
            </w:r>
          </w:p>
          <w:bookmarkEnd w:id="129"/>
          <w:bookmarkStart w:name="z146"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Ардакский сельский округ</w:t>
            </w:r>
          </w:p>
          <w:bookmarkEnd w:id="131"/>
          <w:bookmarkStart w:name="z147" w:id="132"/>
          <w:p>
            <w:pPr>
              <w:spacing w:after="20"/>
              <w:ind w:left="20"/>
              <w:jc w:val="both"/>
            </w:pPr>
          </w:p>
          <w:bookmarkEnd w:id="1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88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88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49" w:id="133"/>
          <w:p>
            <w:pPr>
              <w:spacing w:after="0"/>
              <w:ind w:left="0"/>
              <w:jc w:val="both"/>
            </w:pPr>
            <w:bookmarkStart w:name="z149" w:id="134"/>
            <w:r>
              <w:rPr>
                <w:rFonts w:ascii="Times New Roman"/>
                <w:b/>
                <w:i w:val="false"/>
                <w:color w:val="000000"/>
              </w:rPr>
              <w:t xml:space="preserve"> Схема размещения поголовья сельскохозяйственных животных на отгонных 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пастбищах физических и (или) юридических лиц, не обеспеченных пастбищами,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расположенными при городе районного значения, поселке, селе, сельском округе</w:t>
            </w:r>
          </w:p>
          <w:bookmarkEnd w:id="133"/>
          <w:bookmarkStart w:name="z150"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Ащысайский сельский округ</w:t>
            </w:r>
          </w:p>
          <w:bookmarkEnd w:id="135"/>
          <w:bookmarkStart w:name="z151" w:id="136"/>
          <w:p>
            <w:pPr>
              <w:spacing w:after="20"/>
              <w:ind w:left="20"/>
              <w:jc w:val="both"/>
            </w:pP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24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24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3" w:id="137"/>
          <w:p>
            <w:pPr>
              <w:spacing w:after="0"/>
              <w:ind w:left="0"/>
              <w:jc w:val="both"/>
            </w:pPr>
            <w:bookmarkStart w:name="z153" w:id="138"/>
            <w:r>
              <w:rPr>
                <w:rFonts w:ascii="Times New Roman"/>
                <w:b/>
                <w:i w:val="false"/>
                <w:color w:val="000000"/>
              </w:rPr>
              <w:t xml:space="preserve"> Схема размещения поголовья сельскохозяйственных животных на отгонных </w:t>
            </w:r>
          </w:p>
          <w:bookmarkEnd w:id="1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пастбищах физических и (или) юридических лиц, не обеспеченных пастбищами,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расположенными при городе районного значения, поселке, селе, сельском округе</w:t>
            </w:r>
          </w:p>
          <w:bookmarkEnd w:id="137"/>
          <w:bookmarkStart w:name="z154" w:id="1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Карагашский сельский округ</w:t>
            </w:r>
          </w:p>
          <w:bookmarkEnd w:id="139"/>
          <w:bookmarkStart w:name="z155" w:id="140"/>
          <w:p>
            <w:pPr>
              <w:spacing w:after="20"/>
              <w:ind w:left="20"/>
              <w:jc w:val="both"/>
            </w:pPr>
          </w:p>
          <w:bookmarkEnd w:id="1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58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58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7" w:id="141"/>
          <w:p>
            <w:pPr>
              <w:spacing w:after="0"/>
              <w:ind w:left="0"/>
              <w:jc w:val="both"/>
            </w:pPr>
            <w:bookmarkStart w:name="z157" w:id="142"/>
            <w:r>
              <w:rPr>
                <w:rFonts w:ascii="Times New Roman"/>
                <w:b/>
                <w:i w:val="false"/>
                <w:color w:val="000000"/>
              </w:rPr>
              <w:t xml:space="preserve"> Схема размещения поголовья сельскохозяйственных животных на отгонных </w:t>
            </w:r>
          </w:p>
          <w:bookmarkEnd w:id="1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пастбищах физических и (или) юридических лиц, не обеспеченных пастбищами,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расположенными при городе районного значения, поселке, селе, сельском округе</w:t>
            </w:r>
          </w:p>
          <w:bookmarkEnd w:id="141"/>
          <w:bookmarkStart w:name="z158" w:id="1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Чингирлауский сельский округ</w:t>
            </w:r>
          </w:p>
          <w:bookmarkEnd w:id="143"/>
          <w:bookmarkStart w:name="z159" w:id="144"/>
          <w:p>
            <w:pPr>
              <w:spacing w:after="20"/>
              <w:ind w:left="20"/>
              <w:jc w:val="both"/>
            </w:pP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79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79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Чингирлаускому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– 2024 годы</w:t>
            </w:r>
          </w:p>
        </w:tc>
      </w:tr>
    </w:tbl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 – типчаково – полынных степях – составляет 180-200 дней.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 Начало сроков выпаса весной не ранее чем через две недели после начала отрастания трав и окончание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 Основными пользователями пастбищ на территории Чингирлауского района являются сельскохозяйственные формирования. Сельскохозяйственные животные населения населенных пунктов пасутся на землях населенных пунктов, сельскохозяйственных формирований и на землях запаса.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 производится непосредственно из водопойных корыт, которыми оснащены артезианские скважины и колодцы.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– 2024 годы</w:t>
            </w:r>
          </w:p>
        </w:tc>
      </w:tr>
    </w:tbl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149"/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Акбулакский сельский округ 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153"/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Актауский сельский округ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156"/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Акшатский сельский округ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Алмазненский сельский округ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164"/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Ардакский сельский округ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68"/>
    <w:bookmarkStart w:name="z1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Ащысайский сельский округ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72"/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Карагашский сельский округ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176"/>
    <w:bookmarkStart w:name="z19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Чингирлауский сельский округ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 в разрезе сельских округов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в хозяйствах населения, в том числе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пере-счете на услов-ные головы (гол.)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паст-бищ на 1 усл. голову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Потреб-ность пастбищ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населен-ных пунктов (га)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Нехват-ка паст-бищ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Пло-щадь паст-бищ на землях запаса (га)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Верб-люды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92065</w:t>
            </w:r>
          </w:p>
        </w:tc>
      </w:tr>
    </w:tbl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 в разрезе сельских округов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 землях запаса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 землях спецфонда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на землях коренного улучшения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Котантал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Торатбас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для обеспечения сельскохозяйственных животных по Чингирлаускому району составляет всего 460 664 гектаров.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Чингирлаускому району имеются всего 460 664 га пастбищных угодий. В черте населенного пункта числится 117 302 га пастбищ, в землях запаса имеются 92 065 га пастбищных угодий. 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связи с ростом поголовья скота на личных подворьях ощущается недостаток 88 602 га пастбищных угодий.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 – необходимо рационально использовать пастбищные угодья из государственного фонда и увеличить площади пастбищ за счет земель населенных пунктов, кроме того залежные земли из состава земель запаса необходимо перевести в земли других (пастбища) категорий. Для вовлечения этих земельных участков в сельскохозяйственный оборот необходимо, выделить эти земли лицам, которые не обеспечены пастбищами для выпаса скота. Запас кормов с пастбищ используется в пастбищный период, продолжительность которого 180 - 200 дней. Запас кормов с сенокосов используется в стойловый период.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района действуют 6 ветеринарных пунктов и 8 скотомогильников.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развитию и реконструкции объектов пастбищной инфраструктуры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предоставлять отчет по выполнению индикативных планов по строительству колодцев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10 числу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управление сельского хозяйства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разъяснительные работы о мерах государственной поддержки по возмещению затрат на приобретение техники и оборудования для обводнения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выступления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список предприятий, оказывающих услуги по бурению колодцев (скважин) на интернет ресурсе акимата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</w:tbl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КРС – крупный рогатый скот;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МРС – мелкий рогатый скот;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 – показатель Цельсия;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га – гектар;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мм – миллиметр;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см – сантиметр;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 – сельский округ.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