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6907" w14:textId="7256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Теректинского района от 25 января 2023 года № 5 "Об утверждении Правил предоставления коммунальных услуг в Теректинском районе Западно-Казахстанской области"</w:t>
      </w:r>
    </w:p>
    <w:p>
      <w:pPr>
        <w:spacing w:after="0"/>
        <w:ind w:left="0"/>
        <w:jc w:val="both"/>
      </w:pPr>
      <w:r>
        <w:rPr>
          <w:rFonts w:ascii="Times New Roman"/>
          <w:b w:val="false"/>
          <w:i w:val="false"/>
          <w:color w:val="000000"/>
          <w:sz w:val="28"/>
        </w:rPr>
        <w:t>Постановление акимата Теректинского района Западно-Казахстанской области от 13 декабря 2023 года № 294</w:t>
      </w:r>
    </w:p>
    <w:p>
      <w:pPr>
        <w:spacing w:after="0"/>
        <w:ind w:left="0"/>
        <w:jc w:val="both"/>
      </w:pPr>
      <w:bookmarkStart w:name="z3" w:id="0"/>
      <w:r>
        <w:rPr>
          <w:rFonts w:ascii="Times New Roman"/>
          <w:b w:val="false"/>
          <w:i w:val="false"/>
          <w:color w:val="000000"/>
          <w:sz w:val="28"/>
        </w:rPr>
        <w:t xml:space="preserve">
      Теректинский районный акимат </w:t>
      </w:r>
      <w:r>
        <w:rPr>
          <w:rFonts w:ascii="Times New Roman"/>
          <w:b/>
          <w:i w:val="false"/>
          <w:color w:val="000000"/>
          <w:sz w:val="28"/>
        </w:rPr>
        <w:t>ПОСТАНОВЛЯЕТ</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Теректинского района от 25 января 2023 года № 5 "Об утверждении Правил предоставления коммунальных услуг в Теректинском районе Западно-Казахстанской области"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коммунальных услуг в Теректинском районе Западно-Казахстанской области,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иложить в следующей редакции:</w:t>
      </w:r>
    </w:p>
    <w:bookmarkStart w:name="z7" w:id="3"/>
    <w:p>
      <w:pPr>
        <w:spacing w:after="0"/>
        <w:ind w:left="0"/>
        <w:jc w:val="both"/>
      </w:pPr>
      <w:r>
        <w:rPr>
          <w:rFonts w:ascii="Times New Roman"/>
          <w:b w:val="false"/>
          <w:i w:val="false"/>
          <w:color w:val="000000"/>
          <w:sz w:val="28"/>
        </w:rPr>
        <w:t xml:space="preserve">
      "1. Настоящие Правила предоставления коммунальных услуг в Теректинском районе Западно-Казахстанской области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Типовыми </w:t>
      </w:r>
      <w:r>
        <w:rPr>
          <w:rFonts w:ascii="Times New Roman"/>
          <w:b w:val="false"/>
          <w:i w:val="false"/>
          <w:color w:val="000000"/>
          <w:sz w:val="28"/>
        </w:rPr>
        <w:t>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№249, и устанавливают порядок предоставления и оплаты коммунальных услуг."</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
    <w:bookmarkStart w:name="z10" w:id="5"/>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5"/>
    <w:bookmarkStart w:name="z11" w:id="6"/>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6"/>
    <w:bookmarkStart w:name="z12" w:id="7"/>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7"/>
    <w:bookmarkStart w:name="z13" w:id="8"/>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8"/>
    <w:bookmarkStart w:name="z14" w:id="9"/>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9"/>
    <w:bookmarkStart w:name="z15" w:id="10"/>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0"/>
    <w:bookmarkStart w:name="z16" w:id="11"/>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1"/>
    <w:bookmarkStart w:name="z17" w:id="12"/>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18" w:id="13"/>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3"/>
    <w:bookmarkStart w:name="z19" w:id="14"/>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4"/>
    <w:bookmarkStart w:name="z20" w:id="15"/>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5"/>
    <w:bookmarkStart w:name="z21" w:id="16"/>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6"/>
    <w:bookmarkStart w:name="z22" w:id="17"/>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7"/>
    <w:bookmarkStart w:name="z23" w:id="18"/>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8"/>
    <w:bookmarkStart w:name="z24" w:id="19"/>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9"/>
    <w:bookmarkStart w:name="z25" w:id="20"/>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0"/>
    <w:bookmarkStart w:name="z26" w:id="21"/>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1"/>
    <w:bookmarkStart w:name="z27" w:id="22"/>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2"/>
    <w:bookmarkStart w:name="z28" w:id="23"/>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3"/>
    <w:bookmarkStart w:name="z29" w:id="24"/>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4"/>
    <w:bookmarkStart w:name="z30" w:id="25"/>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5"/>
    <w:bookmarkStart w:name="z31" w:id="26"/>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6"/>
    <w:bookmarkStart w:name="z32" w:id="27"/>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27"/>
    <w:bookmarkStart w:name="z33" w:id="28"/>
    <w:p>
      <w:pPr>
        <w:spacing w:after="0"/>
        <w:ind w:left="0"/>
        <w:jc w:val="both"/>
      </w:pPr>
      <w:r>
        <w:rPr>
          <w:rFonts w:ascii="Times New Roman"/>
          <w:b w:val="false"/>
          <w:i w:val="false"/>
          <w:color w:val="000000"/>
          <w:sz w:val="28"/>
        </w:rPr>
        <w:t>
      дополнить пунктом 3-1 следующего содержания:</w:t>
      </w:r>
    </w:p>
    <w:bookmarkEnd w:id="28"/>
    <w:bookmarkStart w:name="z34" w:id="29"/>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6" w:id="30"/>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w:t>
      </w:r>
    </w:p>
    <w:bookmarkEnd w:id="30"/>
    <w:bookmarkStart w:name="z37" w:id="31"/>
    <w:p>
      <w:pPr>
        <w:spacing w:after="0"/>
        <w:ind w:left="0"/>
        <w:jc w:val="both"/>
      </w:pPr>
      <w:r>
        <w:rPr>
          <w:rFonts w:ascii="Times New Roman"/>
          <w:b w:val="false"/>
          <w:i w:val="false"/>
          <w:color w:val="000000"/>
          <w:sz w:val="28"/>
        </w:rPr>
        <w:t>
      индивидуальные и (или) публичные договора в соответствии с законодательством Республики Казахстан.</w:t>
      </w:r>
    </w:p>
    <w:bookmarkEnd w:id="31"/>
    <w:bookmarkStart w:name="z38" w:id="32"/>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2"/>
    <w:bookmarkStart w:name="z39" w:id="33"/>
    <w:p>
      <w:pPr>
        <w:spacing w:after="0"/>
        <w:ind w:left="0"/>
        <w:jc w:val="both"/>
      </w:pPr>
      <w:r>
        <w:rPr>
          <w:rFonts w:ascii="Times New Roman"/>
          <w:b w:val="false"/>
          <w:i w:val="false"/>
          <w:color w:val="000000"/>
          <w:sz w:val="28"/>
        </w:rPr>
        <w:t xml:space="preserve">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 </w:t>
      </w:r>
    </w:p>
    <w:bookmarkEnd w:id="33"/>
    <w:bookmarkStart w:name="z40" w:id="34"/>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4"/>
    <w:bookmarkStart w:name="z41" w:id="35"/>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3" w:id="3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36"/>
    <w:bookmarkStart w:name="z44" w:id="37"/>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37"/>
    <w:bookmarkStart w:name="z45" w:id="38"/>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7" w:id="39"/>
    <w:p>
      <w:pPr>
        <w:spacing w:after="0"/>
        <w:ind w:left="0"/>
        <w:jc w:val="both"/>
      </w:pPr>
      <w:r>
        <w:rPr>
          <w:rFonts w:ascii="Times New Roman"/>
          <w:b w:val="false"/>
          <w:i w:val="false"/>
          <w:color w:val="000000"/>
          <w:sz w:val="28"/>
        </w:rPr>
        <w:t xml:space="preserve">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w:t>
      </w:r>
    </w:p>
    <w:bookmarkEnd w:id="39"/>
    <w:bookmarkStart w:name="z48" w:id="40"/>
    <w:p>
      <w:pPr>
        <w:spacing w:after="0"/>
        <w:ind w:left="0"/>
        <w:jc w:val="both"/>
      </w:pPr>
      <w:r>
        <w:rPr>
          <w:rFonts w:ascii="Times New Roman"/>
          <w:b w:val="false"/>
          <w:i w:val="false"/>
          <w:color w:val="000000"/>
          <w:sz w:val="28"/>
        </w:rPr>
        <w:t>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50" w:id="4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52" w:id="42"/>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54" w:id="43"/>
    <w:p>
      <w:pPr>
        <w:spacing w:after="0"/>
        <w:ind w:left="0"/>
        <w:jc w:val="both"/>
      </w:pPr>
      <w:r>
        <w:rPr>
          <w:rFonts w:ascii="Times New Roman"/>
          <w:b w:val="false"/>
          <w:i w:val="false"/>
          <w:color w:val="000000"/>
          <w:sz w:val="28"/>
        </w:rPr>
        <w:t xml:space="preserve">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56" w:id="44"/>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4"/>
    <w:bookmarkStart w:name="z57" w:id="45"/>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45"/>
    <w:bookmarkStart w:name="z58" w:id="46"/>
    <w:p>
      <w:pPr>
        <w:spacing w:after="0"/>
        <w:ind w:left="0"/>
        <w:jc w:val="both"/>
      </w:pPr>
      <w:r>
        <w:rPr>
          <w:rFonts w:ascii="Times New Roman"/>
          <w:b w:val="false"/>
          <w:i w:val="false"/>
          <w:color w:val="000000"/>
          <w:sz w:val="28"/>
        </w:rPr>
        <w:t>
      2) характер ухудшения качества коммунальных услуг;</w:t>
      </w:r>
    </w:p>
    <w:bookmarkEnd w:id="46"/>
    <w:bookmarkStart w:name="z59" w:id="47"/>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47"/>
    <w:bookmarkStart w:name="z60" w:id="48"/>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48"/>
    <w:bookmarkStart w:name="z61" w:id="49"/>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49"/>
    <w:bookmarkStart w:name="z62" w:id="50"/>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50"/>
    <w:bookmarkStart w:name="z63" w:id="51"/>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51"/>
    <w:bookmarkStart w:name="z64" w:id="52"/>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52"/>
    <w:bookmarkStart w:name="z65" w:id="53"/>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53"/>
    <w:bookmarkStart w:name="z66" w:id="5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54"/>
    <w:bookmarkStart w:name="z67" w:id="55"/>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55"/>
    <w:bookmarkStart w:name="z68" w:id="56"/>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70" w:id="57"/>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57"/>
    <w:bookmarkStart w:name="z71" w:id="58"/>
    <w:p>
      <w:pPr>
        <w:spacing w:after="0"/>
        <w:ind w:left="0"/>
        <w:jc w:val="both"/>
      </w:pPr>
      <w:r>
        <w:rPr>
          <w:rFonts w:ascii="Times New Roman"/>
          <w:b w:val="false"/>
          <w:i w:val="false"/>
          <w:color w:val="000000"/>
          <w:sz w:val="28"/>
        </w:rPr>
        <w:t xml:space="preserve">
      Кроме настоящих Правил поставщики и потребители руководствуются документами, нормативными правовыми актами в области энергетики, теплоснабжения, водоснабжения, водоотведения, газоснабжения, сбора, вывоза, утилизации, переработки и захоронения твердых бытовых отходов."; </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исключить;</w:t>
      </w:r>
    </w:p>
    <w:bookmarkStart w:name="z73" w:id="59"/>
    <w:p>
      <w:pPr>
        <w:spacing w:after="0"/>
        <w:ind w:left="0"/>
        <w:jc w:val="both"/>
      </w:pPr>
      <w:r>
        <w:rPr>
          <w:rFonts w:ascii="Times New Roman"/>
          <w:b w:val="false"/>
          <w:i w:val="false"/>
          <w:color w:val="000000"/>
          <w:sz w:val="28"/>
        </w:rPr>
        <w:t xml:space="preserve">
      дополнить приложением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59"/>
    <w:bookmarkStart w:name="z74" w:id="60"/>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60"/>
    <w:bookmarkStart w:name="z75" w:id="61"/>
    <w:p>
      <w:pPr>
        <w:spacing w:after="0"/>
        <w:ind w:left="0"/>
        <w:jc w:val="both"/>
      </w:pPr>
      <w:r>
        <w:rPr>
          <w:rFonts w:ascii="Times New Roman"/>
          <w:b w:val="false"/>
          <w:i w:val="false"/>
          <w:color w:val="000000"/>
          <w:sz w:val="28"/>
        </w:rPr>
        <w:t>
      Настоящее постановление вводится в действие по истечении десяти календарных дней после дня его первого официального опубликования.</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А.Муханбетжанова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Теректинского района</w:t>
            </w:r>
            <w:r>
              <w:br/>
            </w:r>
            <w:r>
              <w:rPr>
                <w:rFonts w:ascii="Times New Roman"/>
                <w:b w:val="false"/>
                <w:i w:val="false"/>
                <w:color w:val="000000"/>
                <w:sz w:val="20"/>
              </w:rPr>
              <w:t>от "13" декабря 2023 года №294</w:t>
            </w:r>
          </w:p>
        </w:tc>
      </w:tr>
    </w:tbl>
    <w:bookmarkStart w:name="z78" w:id="62"/>
    <w:p>
      <w:pPr>
        <w:spacing w:after="0"/>
        <w:ind w:left="0"/>
        <w:jc w:val="left"/>
      </w:pPr>
      <w:r>
        <w:rPr>
          <w:rFonts w:ascii="Times New Roman"/>
          <w:b/>
          <w:i w:val="false"/>
          <w:color w:val="000000"/>
        </w:rPr>
        <w:t xml:space="preserve"> Біріңғай төлем құжаты/Единый платежный документ</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3"/>
          <w:p>
            <w:pPr>
              <w:spacing w:after="20"/>
              <w:ind w:left="20"/>
              <w:jc w:val="both"/>
            </w:pPr>
            <w:r>
              <w:rPr>
                <w:rFonts w:ascii="Times New Roman"/>
                <w:b w:val="false"/>
                <w:i w:val="false"/>
                <w:color w:val="000000"/>
                <w:sz w:val="20"/>
              </w:rPr>
              <w:t>
Төлем/</w:t>
            </w:r>
          </w:p>
          <w:bookmarkEnd w:id="63"/>
          <w:p>
            <w:pPr>
              <w:spacing w:after="20"/>
              <w:ind w:left="20"/>
              <w:jc w:val="both"/>
            </w:pPr>
            <w:r>
              <w:rPr>
                <w:rFonts w:ascii="Times New Roman"/>
                <w:b w:val="false"/>
                <w:i w:val="false"/>
                <w:color w:val="000000"/>
                <w:sz w:val="20"/>
              </w:rPr>
              <w:t>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4"/>
          <w:p>
            <w:pPr>
              <w:spacing w:after="20"/>
              <w:ind w:left="20"/>
              <w:jc w:val="both"/>
            </w:pPr>
            <w:r>
              <w:rPr>
                <w:rFonts w:ascii="Times New Roman"/>
                <w:b w:val="false"/>
                <w:i w:val="false"/>
                <w:color w:val="000000"/>
                <w:sz w:val="20"/>
              </w:rPr>
              <w:t>
Алдыңғы көрсеткіш/</w:t>
            </w:r>
          </w:p>
          <w:bookmarkEnd w:id="64"/>
          <w:p>
            <w:pPr>
              <w:spacing w:after="20"/>
              <w:ind w:left="20"/>
              <w:jc w:val="both"/>
            </w:pPr>
            <w:r>
              <w:rPr>
                <w:rFonts w:ascii="Times New Roman"/>
                <w:b w:val="false"/>
                <w:i w:val="false"/>
                <w:color w:val="000000"/>
                <w:sz w:val="20"/>
              </w:rPr>
              <w:t>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5"/>
          <w:p>
            <w:pPr>
              <w:spacing w:after="20"/>
              <w:ind w:left="20"/>
              <w:jc w:val="both"/>
            </w:pPr>
            <w:r>
              <w:rPr>
                <w:rFonts w:ascii="Times New Roman"/>
                <w:b w:val="false"/>
                <w:i w:val="false"/>
                <w:color w:val="000000"/>
                <w:sz w:val="20"/>
              </w:rPr>
              <w:t>
Ағымдық көрсеткіш/</w:t>
            </w:r>
          </w:p>
          <w:bookmarkEnd w:id="65"/>
          <w:p>
            <w:pPr>
              <w:spacing w:after="20"/>
              <w:ind w:left="20"/>
              <w:jc w:val="both"/>
            </w:pPr>
            <w:r>
              <w:rPr>
                <w:rFonts w:ascii="Times New Roman"/>
                <w:b w:val="false"/>
                <w:i w:val="false"/>
                <w:color w:val="000000"/>
                <w:sz w:val="20"/>
              </w:rPr>
              <w:t>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6"/>
          <w:p>
            <w:pPr>
              <w:spacing w:after="20"/>
              <w:ind w:left="20"/>
              <w:jc w:val="both"/>
            </w:pPr>
            <w:r>
              <w:rPr>
                <w:rFonts w:ascii="Times New Roman"/>
                <w:b w:val="false"/>
                <w:i w:val="false"/>
                <w:color w:val="000000"/>
                <w:sz w:val="20"/>
              </w:rPr>
              <w:t>
Саны/</w:t>
            </w:r>
          </w:p>
          <w:bookmarkEnd w:id="66"/>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7"/>
          <w:p>
            <w:pPr>
              <w:spacing w:after="20"/>
              <w:ind w:left="20"/>
              <w:jc w:val="both"/>
            </w:pPr>
            <w:r>
              <w:rPr>
                <w:rFonts w:ascii="Times New Roman"/>
                <w:b w:val="false"/>
                <w:i w:val="false"/>
                <w:color w:val="000000"/>
                <w:sz w:val="20"/>
              </w:rPr>
              <w:t>
Құны/</w:t>
            </w:r>
          </w:p>
          <w:bookmarkEnd w:id="67"/>
          <w:p>
            <w:pPr>
              <w:spacing w:after="20"/>
              <w:ind w:left="20"/>
              <w:jc w:val="both"/>
            </w:pPr>
            <w:r>
              <w:rPr>
                <w:rFonts w:ascii="Times New Roman"/>
                <w:b w:val="false"/>
                <w:i w:val="false"/>
                <w:color w:val="000000"/>
                <w:sz w:val="20"/>
              </w:rPr>
              <w:t>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