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b14e" w14:textId="fb1b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допольнения в решение Бокейординского районного маслихата от 23 декабря 2022 года №24–1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24 апреля 2023 года № 2-1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"О районном бюджете на 2023-2025 годы" от 23 декабря 2022 года №24-1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3 245 769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977 217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23 453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1 260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2 243 839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3 626 789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59 277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103 537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44 260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- 440 297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440 297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103 537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44 260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381 020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"1-1.Учесть, что в районном бюджете на 2023 год предусмотрены целевые текущие трансферты сельским (города районного значения) бюджетам, выделяемые за счет средств районного бюджета в общей сумме 47 586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сельским бюджетам осуществляется на основании постановления акимата Бокейординского района."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2023 года №2-1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2 243 839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