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aa52" w14:textId="b1a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2022 года № 16-1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октября 2023 года № 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2023-2025 годы" от 14 декабря 2022 года № 16-1 (зарегистрировано в Реестре государственной регистрации нормативных правовых актов под № 175 449)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374 640 569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99 723 088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1 795 712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273 086 769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385 710 272,2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15 932 379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28 544 491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12 612 112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- 27 002 082,2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27 002 082,2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–25 150 845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6 912 042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–8 763 279,2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Установить на 2023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–65,9%, Бурлинский – 5,08%,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65,9%, Бурлинский – 5,08%,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65,9%, Бурлинский – 0%,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областном бюджете на 2023 год поступления сумм погашения бюджетных кредитов в сумме 12 612 112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Учесть, что в областном бюджете на 2023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40 555 903 тысячи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32 832 648 тысяч тенге – целевые текущие трансферты;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7 723 255 тысяч тенге – целевые трансферты на развитие.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в областном бюджете на 2023 год погашение займов в сумме 6 912 042 тысячи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резерв местного исполнительного органа области на 2023 год в размере 2 423 061 тысяча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Установить лимит долга местного исполнительного органа области на 31 декабря 2023 года в сумме 106 749 507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 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 16-1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