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197b" w14:textId="ae4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2022 года № 16-1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2023-2025 годы" от 14 декабря 2022 года № 16-1 (зарегистрировано в Реестре государственной регистрации нормативных правовых актов под № 175 449)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353 645 280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95 796 563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2 001 881 тысяча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255 811 836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359 991 489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6 029 048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21 492 932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15 463 884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- 12 375 257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12 375 257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19 150 845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15 415 255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8 639 667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2023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–66,7%, Бурлинский – 5,8%,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5,8%,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5,8%,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2023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8 897 770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2023 год поступления сумм погашения бюджетных кредитов в сумме 15 463 884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2023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39 417 709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33 093 600 тысяч тенге – целевые текущие трансферты;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6 324 109 тысяч тенге – целевые трансферты на развитие.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2023 год погашение займов в сумме 15 415 255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Мукаев М.Р.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апреля 2023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№16-1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359 991 489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-12 375 257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8 639 667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