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355f" w14:textId="a583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Сарыбелскому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28 декабря 2023 года № 9-11/VIII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Сарыбелскому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9-11/VIII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Сарыбелскому сельскому округу на 2023-2024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Сарыбелскому сельскому округу на 2023-2024 годы (далее - План) разработан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Сарыбелского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Сарыбелском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Сарыбелского сельского округа - 95 719 гектар, из них пастбищные земли – 39 941 гектар.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 континентальный, зима относительно прохладная, лето жаркое и засушливое. Среднегодовая температура января - 20; - 28 ° С, в июле +16; + 29 ° С. Среднее количество осадков составляет 32 мм и 325 мм в год.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Растительность округа разнообразна, всего насчитывается более 1000 видов. Самые распространенные из них - кустарники.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Горный чернозем, чернозем обыкновенный, почва темно-коричневая. Толщина плодородного слоя почвы 38-80 см.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Сарыбельского сельского округа имеется1 ветеринарный пункт, 1 скотомогильник.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2023 года в Сарыбелском сельском округе насчитывается крупного рогатого скота 1287 голов, мелкого рогатого скота 2301 голов, лошадей 1980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Сарыбелскому сельскому округу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Сарыбелский с/о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сельскохозяйственных животных пастбищными угодьями по Сарыбелскому сельскому округу, имеются всего 39 941 га.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для нужд местного населения Сарыбельского сельского округа по содержанию маточного (дойного) поголовья сельскохозяйственных животных при имеющихся пастбищных угодьях населенных пунктов в размере 39 941 га, потребности в пастбищных угодьях нет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голову,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Сарыбелский с/о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Сарыбельского сельского округа организовано 2 гурта: 1 гурт в западной части села, 1 гурт в восточной части села.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39 941 га пастбищных угодий полностью достаточны по Сарыбелскому сельскому округу.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других сельскохозяйственных животных местного населения при норме нагрузки на голову: крупный рогатый скот – 6 га, мелкий рогатый скот – 1,2 га, лошадей – 7,2 га, производится на отгонных пастбищах сельхозпроизводителей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 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 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 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Сарыбелский с/о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24739,2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Пастбищных угодий по Сарыбелскому сельскому округу достаточно.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Сарыбелскому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по Сарыбелскому сельскому округу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4643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Сарыбелскому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четырехпольного пастбищеоборота для одного гурта (табуна)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(В-Л-О) весна-лето-осень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Сарыбелскому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69723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Сарыбелскому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 (озерам, рекам, прудам, копаням, оросительным или обводнительным каналам, трубчатым или шахтным колодцам)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Сарыбелскому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Сарыбелскому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 на отгонных пастбищах физических и (или) юридических лиц,  не обеспеченных пастбищами, расположенными при  Сарыбелском сельском округе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Сарыбелскому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Сарыбелскому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60325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