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eabff" w14:textId="63ea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сельскому округу Аккала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28 декабря 2023 года № 9-9/VIII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сельскому округу Аккала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9-9/VIII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сельскому округу Аккала на 2023-2024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сельскому округу Аккала на 2023-2024 годы (далее - План) разработан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сельского округа Аккала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Аккала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сельского округа Аккала 61 114 гектар, из них пастбищные земли – 32 078 гектар.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резко континентальный, зима относительно прохладная, лето жаркое и засушливое. Среднегодовая температура января - 20; - 28 ° С, в июле +16; + 29 ° С. Среднее количество осадков составляет 32 мм и 325 мм в год.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Растительность округа разнообразна, всего насчитывается более 1000 видов. Самые распространенные из них - кустарники.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Горный чернозем, чернозем обыкновенный, почва темно-коричневая. Толщина плодородного слоя почвы 38-80 см.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сельского округа Аккала имеется ветеринарный пункт, скотомогильник.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2023 года в сельском округе Аккала насчитывается крупного рогатого скота 2132 голов, мелкого рогатого скота 5064 голов, лошадей 1242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по сельскому округу Аккала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Аккала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сельскохозяйственных животных пастбищными угодьями по сельскому округу Аккала, имеются всего 32 078 га.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для нужд местного населения сельского округа Аккала по содержанию маточного (дойного) поголовья сельскохозяйственных животных при имеющихся пастбищных угодьях населенных пунктов в размере 32 078 га, потребности в пастбищных угодьях нет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голову,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Аккала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выпаса скота местного населения сельского округа Аккала организовано 2 гурта: 1 гурт в западной части села, 1 гурт в северной части села.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32 078 га пастбищных угодий полностью достаточны по сельскому округу.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других сельскохозяйственных животных местного населения при норме нагрузки на голову: крупный рогатый скот – 6 га, мелкий рогатый скот – 1,2 га, лошадей – 7,2 га, производится на отгонных пастбищах сельхозпроизводителей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 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 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 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Аккала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27562,8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Пастбищных угодий по сельскому округу Аккала достаточно.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сельскому округу Аккала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по сельскому округу Аккала  в разрезе категорий земель, собственников земельных участков  и землепользователей на основании правоустанавливающих документов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0612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сельскому округу Аккала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четырехпольного пастбищеоборота для одного гурта (табуна)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(В-Л-О) весна-лето-осень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сельскому округу Аккала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5311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сельскому округу Аккала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180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80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сельскому округу Аккала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142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сельскому округу Аккала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 на отгонных пастбищах физических и (или) юридических лиц,  не обеспеченных пастбищами, расположенными при сельском  округе Аккала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163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сельскому округу Аккала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сельскому округу Аккала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378700" cy="224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3787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