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4d72" w14:textId="7e44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9 октября 2020 года № 42/477-VI "Об утверждении Правил выпаса сельскохозяйственных животных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31 мая 2023 года № 3/28-VІІІ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42/477-VI "Об утверждении Правил выпаса сельскохозяйственных животных в Восточно-Казахстанской области (зарегистрировано в Реестре государственной регистрации нормативных правовых актов за № 7751)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Восточно-Казахстанской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42/477-VI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в Восточно-Казахстанской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в Восточно-Казахстанской области (далее – Правила) разработаны в соответствии с подпунктом 12-14)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за № 20540) и определяют порядок выпаса сельскохозяйственных животных.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выпаса сельскохозяйственных животных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Водному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значения, поселка, села, сельского округа, а в пределах района, города областного значения - местным исполнительным органом района (кроме районов в городах), города областного значения в соответствии с Планом по управлению пастбищами и их использованию (далее – План).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является нормативным правовым актом, утверждаемым местным представительным органом района, города областного значения на краткосрочный (до года) и (или) долгосрочный (до двух лет) периоды.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административно-территориальных единиц.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Выпас сельскохозяйственных животных на пастбищах осуществляется в соответствии с Планами.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Календарный график по использованию пастбищ, устанавливающий сезонные маршруты выпаса и передвижения сельскохозяйственных животных, определяется согласно Плану.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пастбища предоставляются в пределах города районного значения, поселка, села, сельского округа согласно Плану.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Выпас сельскохозяйственных животных на пастбищах заканчивается с залеганием снежного покрова высотой 15-20 см.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перегона при выпасе сельскохозяйственных животных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всем пути перегона сельскохозяйственных животных не допускается смешивание групп.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Скотопрогоны определяются местным исполнительным органом районов (городов)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Радиус водопоя сельскохозяйственных животных на равнинной местности пастбищ составляет: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выпаса сельскохозяйственных животных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Местные исполнительные органы районов, города областного значения обеспечивают: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Акимы города районного значения, поселка, села, сельского округа перед началом пастбищного периода: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об итогах его реализации органу местного самоуправления (сходу местного сообщества);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Владельцы сельскохозяйственных животных, либо уполномоченные ими лица организуют: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Нарушение настоящих Правил выпаса сельскохозяйственных животных влечет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выпаса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 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