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00f" w14:textId="ab3b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2023 года № 241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