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2622" w14:textId="ebc2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"Социальное обслуживание на дому" отдела занятости и социальных программ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10 августа 2023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(зарегистрировано в Реестре государственной регистрации нормативных правовых актов за № 3294) в связи с передачей функции "Активное долголетие" и "Равное общество" коммунальному государственному учреждению "Социальное обслуживание на дому" отдела занятости и социальных программ Сайрамского района,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"Социальное обслуживание на дому" отдела занятости и социальных программ Сайрамского района в коммунальное государственное учреждение "Центр социального обслуживания" отдела занятости и социальных программ Сайрамского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коммунального государственного учреждения "Центр социального обслуживания" отдела занятости и социальных программ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"Центр социального обслуживания" отдела занятости и социальных программ Сайрамского района (А.Узаков)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положения учреждения в органах юстиции в месячный срок со дня принятия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соответствующих изменений в реестр государственного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Убайдуллаева Ш.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социального обслуживания" отдела занятости и социальных программ Сайрамского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разработано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возможностями" от 11 июля 2002 года № 343,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труда и социальной защиты населения от 29 июня 2023 года № 263 "Об утверждении стандартов оказания специальных социальных услуг в области социальной защиты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330 "Об утверждении перечня гарантированного объема специальных социальных услуг" и другими действующими законодательными актами.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"Центр социального обслуживания" отдела занятости и социальных программ Сайрамского района, именуемое в дальнейшем "учреждение", является некоммерческой организацией, финансируемая из местного бюджета.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государственного учреждения: Коммунальное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создано постановлением акимата Сайрамского района от 09 августа 2010 года № 655.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государственного учреждения является акимат Сайрамского района.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Уполномоченным органом соответствующей отрасли, а также органом, осуществляющим по отношению к нему функции субьекта права в отношении имущества является "Отдел занятости и социальных программ Сайрамского района".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Туркестанская область, Сайрамский район, индекс 160800, село Аксу, улица Саттарханова б/н.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не может создавать, а также выступать учредителем другого юридического лица, за исключением случаев, предусмотренных законами Республики Казахстан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отвечает по своим обязательствам, находящимся в его распоряжении деньгами. При недостаточности у государтсвенного учреждения денег субсидиарную ответственность по его обязательствам несет учредитель средствами соответствующего бюджета.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государственного учреждения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коммунального учреждения на территории района является реализация государственной политики в области социальной защиты населения и концепции "активное долголетие" и "равное общество":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нуждающимся в постороннем уходе;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гражданам, оказавшимся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одиноко проживающим инвалидам первой и второй групп, пожилым людям,;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нарушениями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детям с психоневрологической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старше 18 лет с психоневрологическими заболеваниями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Целью деятельности коммунального государственного учреждения: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и учет, совместно с органами здравоохранения, образования и другими общественными организациями одиноких престарелых и лиц с инвалидностью, детей с инвалидностью, нуждающихся в надомном обслуживании.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Социальное обследование одиноких престарелых, лиц с инвалидностью и детей с инвалидностью, изучения микросреды с целью установления его интересов и потребностей.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родителей практическим навыкам общего ухода за больным ребенком, методам и приемам, способствующим развитию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помощи семьям, воспитывающих детей с инвалидностью в обучении ребенка двигательным и социальным навыкам (одевание, умывание, умение пользоваться столовыми приборами, обращаться с деньгами, делать покупки и готовить пищу, пользоваться телефоном, транспортом и т.д) навыкам поведения, самоконтроля и общения.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с одинокими престарелыми, с лицами с инвалидностью, родителями воспитывающих детей с инвалидностью, в целях реализации реабилитационных мероприятий и адаптации в обществе и в семье.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досуга одинокого престарелого, лица с инвалидностью, детей с инвалидностью (игры, чтение книг, их обсуждение, переписка с друзьями и родными, организация библиотечного обслуживания и т.д).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Просветительско-профилактическая работа с одинокими престарелыми, лицами с инвалидностью, с родителями детей с инвалидностью посредством организации индивидуальных и групповых мероприятий (семинары, тренинги и т.п.)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получении необходимой специальной медицинской помощи и медицинского обслуживания, в частности вызов врача на дом, сопровождение в поликлинику. Оказание первой медицинской помощи в экстренных случаях.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и поддержание связи с трудовыми коллективами, советами ветеранов и труда, другими общественными организациями где ранее работали ветераны войны и труда, лица с инвалидностью с целью оказания шефской помощи одиноким пенсионерам, лицам с инвалидностью и семьям воспитывающим детей с инвалидностью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оформлении необходимых документов установление опеки, попечительства а также для помещения в дома-интернаты или территориальные центры.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консультативной помощи, в том числе по вопросам предоставления государственных социальных и специальных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одиноким престарелым, лицам с инвалидностью, семьям из числа малообеспеченных, воспитыващих детей с инвалидностью, в оформлении документов на оказание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погребения умерших одиноких престарелых, лиц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Доставка на дом одиноким престарелым, лицам с инвалидностью необходимых продуктов, промышленных товаров и медикаментов.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Сдача предметов, домашних вещей одиноких престарелых, лиц с инвалидностью в стирку, химчистку, ремонт и доставка обратно.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Содействие в оказании необходимой помощи по дому, уборке жилого помещения, ремонта жилья.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Содействие в обеспечении по медицинским показаниям протезно-ортопедических изделий, технических и иных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профилактики бытового насилия.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услуг социально-психологического сопровождения жертвам бытового насилия оказавшихся в кризисной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Создание доступных условий для социализации граждан лиц с инвалидностью и людей пенсионного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Реализация концепции "активное долголетие" и "равное общество".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Создание инфраструктуры системной культурно-досуговой работы, направленной на улучшение качества жизни граждан пенсионного возраста, лиц с инвалидностью вовлечение их в активную интеллектуальную, творческую, общественную деятельность и преемственность поколений.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граждан пенсионного возраста, лиц с инвалидностью оздоровительными мероприятиями немедицинского характера.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достижения своих целей коммунальное государственное учреждение осуществляет следующие виды деятельности: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социально-бытовые;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социально- медицинские;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социально- психологические;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 – педагогические;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 – культурные;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 – экономические;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 – правовые;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социально – трудовые;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индивидуальный план обслуживания с учетом индивидуальной программы, разрабатываемой медико-педагогической консультацией.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Коммунальное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закрепленными в настоящем положении. 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коммунальным государственным учреждением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коммунальным государственным учреждением осуществляется местным исполнительным органом.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соответсвущей отрасли в установленном законодательством порядке осуществляет следущие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Закрепляет за коммунальным государственным учреждением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коммунального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сохранностью имущества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(положение) коммунального государственного учреждения, вносит в него изменения и дополнения;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структуру, порядок формирования и срок полномочий органов управления коммунального государственного учреждения, порядок принятия государственным учреждением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коммунального государственного учреждения,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коммунального государственного учреждения, за исключением государственных учреждений являющихся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годовую финансовую отчетность;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Дает письменное согласие уполномоченному органу по государственному имуществу на изъятие или перераспределение имущества, переданного коммунальному государственному учреждению или приобретенного им в результате собственной 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местным исполнительным органом принимает решение о реорганизации и ликвидации коммунального государственного учреждения;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положением и иным законодательством Республики Казахстан.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коммунального государственного учреждения назначается на должность и освобождается от должности Сайрамским отделом занятости и социальных программ за исключением случаев, установленных законодательством Республики Казахстан.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коммунального государственного учреждения организует и руководит работой коммунального государственного учреждения, непосредственно подчиняется местному исполнительному органу и несет персональную ответственность за выполнение возложенных на коммунальное государственное учреждение задач и осуществление им своих функций.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коммунального государственного учреждения действует на принципах единоначалия и самостоятельно решает вопросы деятельности коммунального государственного учреждения в соответствии с его компетенцией, определяемой законодательством Республики Казахстан и настоящим уставом (положением).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Действия руководителя коммунального государственного учреждения, направленные на осуществление коммунальным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отвественности.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коммунального государственного учреждения в установленном законодательством Республики Казахстан порядке: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Без доверенности действует от имени коммунального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Представляет интересы коммунального государственного учреждения в государственных органах, иных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заключает договоры.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выдает доверенности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коммунального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Открывает банковские счета.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Издает приказы и дает указания, обязательные для всех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коммунального государственного учреждения, а заместителя по соглашению с уполномоченным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Применяет меры поощрения и налагает дисциплинарные взыскания на сотрудников коммунального государственного учреждения, в порядке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обязанности и круг полномочий своего заместителя (заместителей) и иных руководящих сотрудников коммунального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(положением) и местным исполнительным органом.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коммунального государственного учреждения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Имущество коммунального государственного учреждения составляют активы юридического лица, стоимость которых отражается на его балансе. Имущество коммунального государственного учреждения формируется за счет: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имущества переданного ему собственником;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имущества (включая денежные доходы), приобретенного в результате собственной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 источников, не запрещенных законодательством Республики Казахстан.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Коммунальное государственное учреждение не вправе самостоятельно отчуждать или иным способом распоряжаться закрепленным за ним имуществом.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законами Республики Казахстан коммунальному государственному учреждению предоставлено право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образования, сортоиспытания, особо охраняемых природных территорий, Вооруженных сил, государственными музеями и музеями-заповедниками, в соответствии с законами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Деятельность коммунального государственного учреждения финансируется из бюджета местным исполнительным органом.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Коммунальное государственное учреждение ведет бухгалтерский учет и представляет отчетность в соответствии с законодательством Республики Казахстан.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ревизия финансово-хозяйственной деятельности коммунального государственного учреждения осуществляется местным исполнительным органом.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коммунальном государственном учреждении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Режим работы коммунального государственного учреждения устанавливается правилами внутренного трудового распорядка и не должен противоречить нормам трудового законодательства Республики Казахстан. 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Внесение изменений и дополнений в учредительные документы коммунального государственного учреждения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коммунального государственного учреждения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Реорганизация и ликвидация коммунального государственного учреждения производится по решению местного исполнительного органа.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юридическое лицо ликвидируется также по другим основаниям, предусмотренными законодательными актами.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Реорганизацию и ликвидацию коммунального государственного учреждения осуществляет местный исполнительный орган.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Имущество ликвидированного государственного юридического лица, оставшееся после удовлетворения требований кредиторов, перераспределяется местным исполнительным органом.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Деньги ликвидированного коммунального государственного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