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6741" w14:textId="c5f6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23 декабря 2022 года № 33/4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 ноября 2023 года № 8/1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23 декабря 2022 года № 33/4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2023-2025 годы согласно приложению 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17 660 568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3 768 580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13 765 634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18 407 158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-159 325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236 950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бюджета– 587 265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556 340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 распределения общей суммы поступления корпоративного подоходного налога 50 процентов, индивидуального подоходного налога 53,7 процентов, индивидуальный подоходный налог с доходов иностранных граждан, не облагаемых у источника выплаты 50 процентов, и социального налога в размере 50 процентов в областной бюджет.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Вознограждения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