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13df" w14:textId="1ea1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23 декабря 2022 года № 33/4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16 мая 2023 года № 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23 декабря 2022 года № 33/4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19 424 197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4 035 030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15 333 887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19 980 537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587 265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556 340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поступления корпоративного подоходного налога 50 процентов, индивидуального подоходного налога 53 процентов, индивидуальный подоходный налог с доходов иностранных граждан, не облагаемых у источника выплаты 50 процентов, и социального налога в размере 50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